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E7F" w:rsidRPr="00DE2D6A" w:rsidRDefault="001F2E7F" w:rsidP="004617CC">
      <w:pPr>
        <w:spacing w:after="0"/>
        <w:jc w:val="center"/>
        <w:rPr>
          <w:rFonts w:ascii="Cambria" w:hAnsi="Cambria"/>
          <w:b/>
          <w:sz w:val="28"/>
        </w:rPr>
      </w:pPr>
      <w:r w:rsidRPr="00DE2D6A">
        <w:rPr>
          <w:rFonts w:ascii="Cambria" w:hAnsi="Cambria"/>
          <w:b/>
          <w:sz w:val="28"/>
        </w:rPr>
        <w:t>L</w:t>
      </w:r>
      <w:r>
        <w:rPr>
          <w:rFonts w:ascii="Cambria" w:hAnsi="Cambria"/>
          <w:b/>
          <w:sz w:val="28"/>
        </w:rPr>
        <w:t xml:space="preserve">a stratégie des PME influence-t-elle leur </w:t>
      </w:r>
      <w:r w:rsidRPr="00DE2D6A">
        <w:rPr>
          <w:rFonts w:ascii="Cambria" w:hAnsi="Cambria"/>
          <w:b/>
          <w:sz w:val="28"/>
        </w:rPr>
        <w:t>adoption d</w:t>
      </w:r>
      <w:r>
        <w:rPr>
          <w:rFonts w:ascii="Cambria" w:hAnsi="Cambria"/>
          <w:b/>
          <w:sz w:val="28"/>
        </w:rPr>
        <w:t xml:space="preserve">es outils </w:t>
      </w:r>
      <w:r w:rsidRPr="00DE2D6A">
        <w:rPr>
          <w:rFonts w:ascii="Cambria" w:hAnsi="Cambria"/>
          <w:b/>
          <w:sz w:val="28"/>
        </w:rPr>
        <w:t>ERP</w:t>
      </w:r>
      <w:r>
        <w:rPr>
          <w:rFonts w:ascii="Cambria" w:hAnsi="Cambria"/>
          <w:b/>
          <w:sz w:val="28"/>
        </w:rPr>
        <w:t> ? Une analyse empirique</w:t>
      </w:r>
    </w:p>
    <w:p w:rsidR="001F2E7F" w:rsidRPr="00DE2D6A" w:rsidRDefault="001F2E7F" w:rsidP="00DE2D6A">
      <w:pPr>
        <w:spacing w:after="0"/>
        <w:jc w:val="both"/>
        <w:rPr>
          <w:rFonts w:ascii="Cambria" w:hAnsi="Cambria"/>
          <w:b/>
          <w:sz w:val="28"/>
        </w:rPr>
      </w:pPr>
    </w:p>
    <w:p w:rsidR="001F2E7F" w:rsidRPr="00DE2D6A" w:rsidRDefault="001F2E7F" w:rsidP="00DE2D6A">
      <w:pPr>
        <w:spacing w:after="0"/>
        <w:jc w:val="both"/>
        <w:rPr>
          <w:rFonts w:ascii="Cambria" w:hAnsi="Cambria"/>
          <w:b/>
          <w:sz w:val="28"/>
        </w:rPr>
      </w:pPr>
    </w:p>
    <w:p w:rsidR="001F2E7F" w:rsidRDefault="001F2E7F" w:rsidP="004617CC">
      <w:pPr>
        <w:spacing w:after="0"/>
        <w:jc w:val="center"/>
        <w:rPr>
          <w:rFonts w:ascii="Cambria" w:hAnsi="Cambria"/>
          <w:sz w:val="24"/>
        </w:rPr>
      </w:pPr>
    </w:p>
    <w:p w:rsidR="001F2E7F" w:rsidRDefault="001F2E7F" w:rsidP="004617CC">
      <w:pPr>
        <w:jc w:val="both"/>
        <w:rPr>
          <w:rFonts w:ascii="Times New Roman" w:hAnsi="Times New Roman"/>
          <w:b/>
        </w:rPr>
      </w:pPr>
    </w:p>
    <w:p w:rsidR="001F2E7F" w:rsidRPr="00C80AA5" w:rsidRDefault="001F2E7F" w:rsidP="004617CC">
      <w:pPr>
        <w:jc w:val="both"/>
        <w:rPr>
          <w:rFonts w:ascii="Times New Roman" w:hAnsi="Times New Roman"/>
          <w:b/>
        </w:rPr>
      </w:pPr>
      <w:r w:rsidRPr="00C80AA5">
        <w:rPr>
          <w:rFonts w:ascii="Times New Roman" w:hAnsi="Times New Roman"/>
          <w:b/>
        </w:rPr>
        <w:t xml:space="preserve">Résumé : </w:t>
      </w:r>
    </w:p>
    <w:p w:rsidR="001F2E7F" w:rsidRPr="00C80AA5" w:rsidRDefault="001F2E7F" w:rsidP="004617CC">
      <w:pPr>
        <w:jc w:val="both"/>
        <w:rPr>
          <w:rFonts w:ascii="Times New Roman" w:hAnsi="Times New Roman"/>
        </w:rPr>
      </w:pPr>
      <w:r w:rsidRPr="00175E76">
        <w:rPr>
          <w:rFonts w:ascii="Times New Roman" w:hAnsi="Times New Roman"/>
        </w:rPr>
        <w:t>L’offre de logiciels intégrés auprès des petites entreprises s’accroit. Cependant, l</w:t>
      </w:r>
      <w:r>
        <w:rPr>
          <w:rFonts w:ascii="Times New Roman" w:hAnsi="Times New Roman"/>
        </w:rPr>
        <w:t xml:space="preserve">’acquisition d’un logiciel </w:t>
      </w:r>
      <w:r w:rsidRPr="00175E76">
        <w:rPr>
          <w:rFonts w:ascii="Times New Roman" w:hAnsi="Times New Roman"/>
        </w:rPr>
        <w:t xml:space="preserve">ERP demeure un investissement conséquent, surtout au regard des caractéristiques des PME. Engageant l’entreprise dans le long terme, le choix d’adopter un ERP peut être assimilé à une décision de nature stratégique. La présente recherche fait alors l’hypothèse d’une influence des </w:t>
      </w:r>
      <w:r>
        <w:rPr>
          <w:rFonts w:ascii="Times New Roman" w:hAnsi="Times New Roman"/>
        </w:rPr>
        <w:t xml:space="preserve">priorités </w:t>
      </w:r>
      <w:r w:rsidRPr="00175E76">
        <w:rPr>
          <w:rFonts w:ascii="Times New Roman" w:hAnsi="Times New Roman"/>
        </w:rPr>
        <w:t xml:space="preserve">stratégiques de </w:t>
      </w:r>
      <w:smartTag w:uri="urn:schemas-microsoft-com:office:smarttags" w:element="PersonName">
        <w:smartTagPr>
          <w:attr w:name="ProductID" w:val="la PME"/>
        </w:smartTagPr>
        <w:r w:rsidRPr="00175E76">
          <w:rPr>
            <w:rFonts w:ascii="Times New Roman" w:hAnsi="Times New Roman"/>
          </w:rPr>
          <w:t>la PME</w:t>
        </w:r>
      </w:smartTag>
      <w:r w:rsidRPr="00175E76">
        <w:rPr>
          <w:rFonts w:ascii="Times New Roman" w:hAnsi="Times New Roman"/>
        </w:rPr>
        <w:t xml:space="preserve"> sur le choix ou non de recourir à un ERP. </w:t>
      </w:r>
      <w:r>
        <w:rPr>
          <w:rFonts w:ascii="Times New Roman" w:hAnsi="Times New Roman"/>
        </w:rPr>
        <w:t xml:space="preserve">L’administration du « questionnaire PME » M@rsouin </w:t>
      </w:r>
      <w:r w:rsidRPr="00175E76">
        <w:rPr>
          <w:rFonts w:ascii="Times New Roman" w:hAnsi="Times New Roman"/>
        </w:rPr>
        <w:t xml:space="preserve">auprès de 2000 PME </w:t>
      </w:r>
      <w:r>
        <w:rPr>
          <w:rFonts w:ascii="Times New Roman" w:hAnsi="Times New Roman"/>
        </w:rPr>
        <w:t xml:space="preserve">bretonnes </w:t>
      </w:r>
      <w:r w:rsidRPr="00175E76">
        <w:rPr>
          <w:rFonts w:ascii="Times New Roman" w:hAnsi="Times New Roman"/>
        </w:rPr>
        <w:t>a permis de tester les hypothèses posées. Les résultats montrent que l</w:t>
      </w:r>
      <w:r>
        <w:rPr>
          <w:rFonts w:ascii="Times New Roman" w:hAnsi="Times New Roman"/>
        </w:rPr>
        <w:t xml:space="preserve">a seule </w:t>
      </w:r>
      <w:r w:rsidRPr="00175E76">
        <w:rPr>
          <w:rFonts w:ascii="Times New Roman" w:hAnsi="Times New Roman"/>
        </w:rPr>
        <w:t>priorité stratégique qui influence l’adoption d’un ERP est l</w:t>
      </w:r>
      <w:r>
        <w:rPr>
          <w:rFonts w:ascii="Times New Roman" w:hAnsi="Times New Roman"/>
        </w:rPr>
        <w:t>e positionnement en termes de « </w:t>
      </w:r>
      <w:r w:rsidRPr="00175E76">
        <w:rPr>
          <w:rFonts w:ascii="Times New Roman" w:hAnsi="Times New Roman"/>
        </w:rPr>
        <w:t>réactiv</w:t>
      </w:r>
      <w:r>
        <w:rPr>
          <w:rFonts w:ascii="Times New Roman" w:hAnsi="Times New Roman"/>
        </w:rPr>
        <w:t>é »</w:t>
      </w:r>
      <w:r w:rsidRPr="00175E76">
        <w:rPr>
          <w:rFonts w:ascii="Times New Roman" w:hAnsi="Times New Roman"/>
        </w:rPr>
        <w:t xml:space="preserve"> </w:t>
      </w:r>
      <w:r>
        <w:rPr>
          <w:rFonts w:ascii="Times New Roman" w:hAnsi="Times New Roman"/>
        </w:rPr>
        <w:t xml:space="preserve">de l’entreprise. Inversement, </w:t>
      </w:r>
      <w:r w:rsidRPr="00175E76">
        <w:rPr>
          <w:rFonts w:ascii="Times New Roman" w:hAnsi="Times New Roman"/>
        </w:rPr>
        <w:t>l</w:t>
      </w:r>
      <w:r>
        <w:rPr>
          <w:rFonts w:ascii="Times New Roman" w:hAnsi="Times New Roman"/>
        </w:rPr>
        <w:t xml:space="preserve">e fait que les entreprises soient focalisées sur des </w:t>
      </w:r>
      <w:r w:rsidRPr="00175E76">
        <w:rPr>
          <w:rFonts w:ascii="Times New Roman" w:hAnsi="Times New Roman"/>
        </w:rPr>
        <w:t xml:space="preserve">priorités stratégiques </w:t>
      </w:r>
      <w:r>
        <w:rPr>
          <w:rFonts w:ascii="Times New Roman" w:hAnsi="Times New Roman"/>
        </w:rPr>
        <w:t xml:space="preserve">ciblant le(s) produit(s) vendus (positionnement en termes d’innovation, de personnalisation…) </w:t>
      </w:r>
      <w:r w:rsidRPr="00175E76">
        <w:rPr>
          <w:rFonts w:ascii="Times New Roman" w:hAnsi="Times New Roman"/>
        </w:rPr>
        <w:t>n’</w:t>
      </w:r>
      <w:r>
        <w:rPr>
          <w:rFonts w:ascii="Times New Roman" w:hAnsi="Times New Roman"/>
        </w:rPr>
        <w:t xml:space="preserve">a </w:t>
      </w:r>
      <w:r w:rsidRPr="00175E76">
        <w:rPr>
          <w:rFonts w:ascii="Times New Roman" w:hAnsi="Times New Roman"/>
        </w:rPr>
        <w:t>pas d’impact sur la probabilité d’adoption d’un ERP.</w:t>
      </w:r>
      <w:r>
        <w:rPr>
          <w:rFonts w:ascii="Times New Roman" w:hAnsi="Times New Roman"/>
        </w:rPr>
        <w:t xml:space="preserve"> L’adoption des outils ERP répond donc bien prioritairement à un besoin d’efficience organisationnelle pour l’entreprise. </w:t>
      </w:r>
    </w:p>
    <w:p w:rsidR="001F2E7F" w:rsidRDefault="001F2E7F" w:rsidP="004617CC">
      <w:pPr>
        <w:spacing w:after="120"/>
        <w:jc w:val="both"/>
        <w:rPr>
          <w:rFonts w:ascii="Times New Roman" w:hAnsi="Times New Roman"/>
        </w:rPr>
      </w:pPr>
      <w:r w:rsidRPr="00C80AA5">
        <w:rPr>
          <w:rFonts w:ascii="Times New Roman" w:hAnsi="Times New Roman"/>
          <w:b/>
        </w:rPr>
        <w:t xml:space="preserve">Mots clés : </w:t>
      </w:r>
      <w:r w:rsidRPr="00C80AA5">
        <w:rPr>
          <w:rFonts w:ascii="Times New Roman" w:hAnsi="Times New Roman"/>
        </w:rPr>
        <w:t xml:space="preserve">ERP, </w:t>
      </w:r>
      <w:r>
        <w:rPr>
          <w:rFonts w:ascii="Times New Roman" w:hAnsi="Times New Roman"/>
        </w:rPr>
        <w:t xml:space="preserve">priorités </w:t>
      </w:r>
      <w:r w:rsidRPr="00C80AA5">
        <w:rPr>
          <w:rFonts w:ascii="Times New Roman" w:hAnsi="Times New Roman"/>
        </w:rPr>
        <w:t>stratégiques, PME</w:t>
      </w:r>
      <w:r>
        <w:rPr>
          <w:rFonts w:ascii="Times New Roman" w:hAnsi="Times New Roman"/>
        </w:rPr>
        <w:t xml:space="preserve">, adoption, économétrie. </w:t>
      </w:r>
    </w:p>
    <w:p w:rsidR="001F2E7F" w:rsidRPr="00BA24AD" w:rsidRDefault="001F2E7F" w:rsidP="004617CC">
      <w:pPr>
        <w:spacing w:after="120"/>
        <w:jc w:val="both"/>
        <w:rPr>
          <w:rFonts w:ascii="Times New Roman" w:hAnsi="Times New Roman"/>
        </w:rPr>
      </w:pPr>
      <w:r w:rsidRPr="00BA24AD">
        <w:rPr>
          <w:rFonts w:ascii="Times New Roman" w:hAnsi="Times New Roman"/>
          <w:b/>
        </w:rPr>
        <w:t>Axes thématiques</w:t>
      </w:r>
      <w:r>
        <w:rPr>
          <w:rFonts w:ascii="Times New Roman" w:hAnsi="Times New Roman"/>
          <w:b/>
        </w:rPr>
        <w:t xml:space="preserve"> : </w:t>
      </w:r>
      <w:r>
        <w:rPr>
          <w:rFonts w:ascii="Times New Roman" w:hAnsi="Times New Roman"/>
        </w:rPr>
        <w:t>Pratiques numériques</w:t>
      </w:r>
    </w:p>
    <w:p w:rsidR="001F2E7F" w:rsidRDefault="001F2E7F">
      <w:pPr>
        <w:spacing w:after="0" w:line="240" w:lineRule="auto"/>
        <w:rPr>
          <w:rFonts w:ascii="Cambria" w:hAnsi="Cambria"/>
          <w:sz w:val="24"/>
        </w:rPr>
      </w:pPr>
      <w:r>
        <w:rPr>
          <w:rFonts w:ascii="Cambria" w:hAnsi="Cambria"/>
          <w:sz w:val="24"/>
        </w:rPr>
        <w:br w:type="page"/>
      </w:r>
    </w:p>
    <w:p w:rsidR="001F2E7F" w:rsidRPr="002E02A6" w:rsidRDefault="001F2E7F" w:rsidP="007D007D">
      <w:pPr>
        <w:jc w:val="both"/>
        <w:rPr>
          <w:rFonts w:ascii="Times New Roman" w:hAnsi="Times New Roman"/>
          <w:b/>
        </w:rPr>
      </w:pPr>
      <w:r w:rsidRPr="002E02A6">
        <w:rPr>
          <w:rFonts w:ascii="Times New Roman" w:hAnsi="Times New Roman"/>
          <w:b/>
        </w:rPr>
        <w:t>1. Contexte/revue de littérature</w:t>
      </w:r>
    </w:p>
    <w:p w:rsidR="001F2E7F" w:rsidRDefault="001F2E7F" w:rsidP="007D007D">
      <w:pPr>
        <w:jc w:val="both"/>
        <w:rPr>
          <w:rFonts w:ascii="Times New Roman" w:hAnsi="Times New Roman"/>
        </w:rPr>
      </w:pPr>
      <w:r w:rsidRPr="00C80AA5">
        <w:rPr>
          <w:rFonts w:ascii="Times New Roman" w:hAnsi="Times New Roman"/>
        </w:rPr>
        <w:t>Comme le rappellent Kocoglu et Mo</w:t>
      </w:r>
      <w:r>
        <w:rPr>
          <w:rFonts w:ascii="Times New Roman" w:hAnsi="Times New Roman"/>
        </w:rPr>
        <w:t>atti (2010), plusieurs possibilités</w:t>
      </w:r>
      <w:r w:rsidRPr="00C80AA5">
        <w:rPr>
          <w:rFonts w:ascii="Times New Roman" w:hAnsi="Times New Roman"/>
        </w:rPr>
        <w:t xml:space="preserve"> existent pour informatiser </w:t>
      </w:r>
      <w:r>
        <w:rPr>
          <w:rFonts w:ascii="Times New Roman" w:hAnsi="Times New Roman"/>
        </w:rPr>
        <w:t xml:space="preserve">les différentes fonctions qui caractérisent le travail quotidien dans une entreprise. </w:t>
      </w:r>
      <w:r w:rsidRPr="00C80AA5">
        <w:rPr>
          <w:rFonts w:ascii="Times New Roman" w:hAnsi="Times New Roman"/>
        </w:rPr>
        <w:t>Ainsi les fonctions comptables, commerciales, de production, de ressources humaines</w:t>
      </w:r>
      <w:r>
        <w:rPr>
          <w:rFonts w:ascii="Times New Roman" w:hAnsi="Times New Roman"/>
        </w:rPr>
        <w:t>, etc. peuvent être intégrées dans un système</w:t>
      </w:r>
      <w:r w:rsidRPr="00C80AA5">
        <w:rPr>
          <w:rFonts w:ascii="Times New Roman" w:hAnsi="Times New Roman"/>
        </w:rPr>
        <w:t xml:space="preserve"> </w:t>
      </w:r>
      <w:r>
        <w:rPr>
          <w:rFonts w:ascii="Times New Roman" w:hAnsi="Times New Roman"/>
        </w:rPr>
        <w:t xml:space="preserve">d’information via différentes solutions qui </w:t>
      </w:r>
      <w:r w:rsidRPr="00C80AA5">
        <w:rPr>
          <w:rFonts w:ascii="Times New Roman" w:hAnsi="Times New Roman"/>
        </w:rPr>
        <w:t>peuvent être utilisées soit de faç</w:t>
      </w:r>
      <w:r>
        <w:rPr>
          <w:rFonts w:ascii="Times New Roman" w:hAnsi="Times New Roman"/>
        </w:rPr>
        <w:t>on séparée, soit de façon combinée :</w:t>
      </w:r>
    </w:p>
    <w:p w:rsidR="001F2E7F" w:rsidRPr="00C80AA5" w:rsidRDefault="001F2E7F" w:rsidP="007D007D">
      <w:pPr>
        <w:pStyle w:val="ListParagraph"/>
        <w:numPr>
          <w:ilvl w:val="0"/>
          <w:numId w:val="1"/>
        </w:numPr>
        <w:jc w:val="both"/>
        <w:rPr>
          <w:rFonts w:ascii="Times New Roman" w:hAnsi="Times New Roman"/>
        </w:rPr>
      </w:pPr>
      <w:r>
        <w:rPr>
          <w:rFonts w:ascii="Times New Roman" w:hAnsi="Times New Roman"/>
        </w:rPr>
        <w:t>l</w:t>
      </w:r>
      <w:r w:rsidRPr="00C80AA5">
        <w:rPr>
          <w:rFonts w:ascii="Times New Roman" w:hAnsi="Times New Roman"/>
        </w:rPr>
        <w:t xml:space="preserve">e recours au marché et </w:t>
      </w:r>
      <w:r>
        <w:rPr>
          <w:rFonts w:ascii="Times New Roman" w:hAnsi="Times New Roman"/>
        </w:rPr>
        <w:t xml:space="preserve">l’achat </w:t>
      </w:r>
      <w:r w:rsidRPr="00C80AA5">
        <w:rPr>
          <w:rFonts w:ascii="Times New Roman" w:hAnsi="Times New Roman"/>
        </w:rPr>
        <w:t xml:space="preserve">séparé pour chacune des fonctions existantes dans l’entreprise </w:t>
      </w:r>
      <w:r>
        <w:rPr>
          <w:rFonts w:ascii="Times New Roman" w:hAnsi="Times New Roman"/>
        </w:rPr>
        <w:t xml:space="preserve">de </w:t>
      </w:r>
      <w:r w:rsidRPr="00C80AA5">
        <w:rPr>
          <w:rFonts w:ascii="Times New Roman" w:hAnsi="Times New Roman"/>
        </w:rPr>
        <w:t xml:space="preserve">l’application la plus adaptée ; </w:t>
      </w:r>
    </w:p>
    <w:p w:rsidR="001F2E7F" w:rsidRPr="00C80AA5" w:rsidRDefault="001F2E7F" w:rsidP="007D007D">
      <w:pPr>
        <w:pStyle w:val="ListParagraph"/>
        <w:numPr>
          <w:ilvl w:val="0"/>
          <w:numId w:val="1"/>
        </w:numPr>
        <w:jc w:val="both"/>
        <w:rPr>
          <w:rFonts w:ascii="Times New Roman" w:hAnsi="Times New Roman"/>
        </w:rPr>
      </w:pPr>
      <w:r>
        <w:rPr>
          <w:rFonts w:ascii="Times New Roman" w:hAnsi="Times New Roman"/>
        </w:rPr>
        <w:t>l</w:t>
      </w:r>
      <w:r w:rsidRPr="00C80AA5">
        <w:rPr>
          <w:rFonts w:ascii="Times New Roman" w:hAnsi="Times New Roman"/>
        </w:rPr>
        <w:t>’utilisation des compétences internes en informatique, lorsqu</w:t>
      </w:r>
      <w:r>
        <w:rPr>
          <w:rFonts w:ascii="Times New Roman" w:hAnsi="Times New Roman"/>
        </w:rPr>
        <w:t xml:space="preserve">e les </w:t>
      </w:r>
      <w:r w:rsidRPr="00C80AA5">
        <w:rPr>
          <w:rFonts w:ascii="Times New Roman" w:hAnsi="Times New Roman"/>
        </w:rPr>
        <w:t xml:space="preserve">entreprises en possèdent pour développer des solutions maison ; </w:t>
      </w:r>
    </w:p>
    <w:p w:rsidR="001F2E7F" w:rsidRDefault="001F2E7F" w:rsidP="007D007D">
      <w:pPr>
        <w:pStyle w:val="ListParagraph"/>
        <w:numPr>
          <w:ilvl w:val="0"/>
          <w:numId w:val="1"/>
        </w:numPr>
        <w:jc w:val="both"/>
        <w:rPr>
          <w:rFonts w:ascii="Times New Roman" w:hAnsi="Times New Roman"/>
        </w:rPr>
      </w:pPr>
      <w:r>
        <w:rPr>
          <w:rFonts w:ascii="Times New Roman" w:hAnsi="Times New Roman"/>
        </w:rPr>
        <w:t>la mise en place d’</w:t>
      </w:r>
      <w:r w:rsidRPr="00C80AA5">
        <w:rPr>
          <w:rFonts w:ascii="Times New Roman" w:hAnsi="Times New Roman"/>
        </w:rPr>
        <w:t>un ERP, pour faire fonctionner les différents métiers de l’entreprise de façon intégrée.</w:t>
      </w:r>
    </w:p>
    <w:p w:rsidR="001F2E7F" w:rsidRDefault="001F2E7F" w:rsidP="00412B73">
      <w:pPr>
        <w:jc w:val="both"/>
        <w:rPr>
          <w:rFonts w:ascii="Times New Roman" w:hAnsi="Times New Roman"/>
        </w:rPr>
      </w:pPr>
      <w:r w:rsidRPr="00412B73">
        <w:rPr>
          <w:rFonts w:ascii="Times New Roman" w:hAnsi="Times New Roman"/>
        </w:rPr>
        <w:t xml:space="preserve">Dans le cadre de notre recherche, nous focalisons notre attention sur l’une de ces trois modalités, l’ERP, en nous questionnant sur les conditions de son adoption. </w:t>
      </w:r>
    </w:p>
    <w:p w:rsidR="001F2E7F" w:rsidRDefault="001F2E7F" w:rsidP="00412B73">
      <w:pPr>
        <w:jc w:val="both"/>
        <w:rPr>
          <w:rFonts w:ascii="Times New Roman" w:hAnsi="Times New Roman"/>
        </w:rPr>
      </w:pPr>
      <w:r w:rsidRPr="00C80AA5">
        <w:rPr>
          <w:rFonts w:ascii="Times New Roman" w:hAnsi="Times New Roman"/>
        </w:rPr>
        <w:t xml:space="preserve">Récemment, Haddara et Zach (2011) ont proposé un état des lieux de la recherche émergente sur la question des ERP dans les PME. Leur analyse de la littérature existante est structurée sur les différentes étapes du projet ERP. Pour l’étape d’adoption – qui est celle qui nous intéresse ici – les facteurs identifiés portent sur les prédicteurs comme la taille, le secteur d’activité, les </w:t>
      </w:r>
      <w:r>
        <w:rPr>
          <w:rFonts w:ascii="Times New Roman" w:hAnsi="Times New Roman"/>
        </w:rPr>
        <w:t xml:space="preserve">technologies de l’information </w:t>
      </w:r>
      <w:r w:rsidRPr="00C80AA5">
        <w:rPr>
          <w:rFonts w:ascii="Times New Roman" w:hAnsi="Times New Roman"/>
        </w:rPr>
        <w:t xml:space="preserve">déjà utilisées, l’insertion dans des collaborations externes, le profil du dirigeant, les bénéfices perçus de l’ERP, ou le degré de complexité des activités de l’entreprise. L’ensemble de ces facteurs correspond à des facteurs individuels, techniques ou bien organisationnels. La dimension stratégique n’est jamais directement posée. Pourtant, la dimension stratégique des ERP est un fait acquis : de par les montants importants investis dans la mise en œuvre des ERP et leur caractère fortement structurant pour le fonctionnement des organisations, les ERP correspondent à un engagement de long terme pour les entreprises, c’est-à-dire une décision de nature stratégique (Mourrain, 2007). </w:t>
      </w:r>
    </w:p>
    <w:p w:rsidR="001F2E7F" w:rsidRDefault="001F2E7F" w:rsidP="00611586">
      <w:pPr>
        <w:jc w:val="both"/>
        <w:rPr>
          <w:rFonts w:ascii="Times New Roman" w:hAnsi="Times New Roman"/>
        </w:rPr>
      </w:pPr>
      <w:r w:rsidRPr="00C80AA5">
        <w:rPr>
          <w:rFonts w:ascii="Times New Roman" w:hAnsi="Times New Roman"/>
        </w:rPr>
        <w:t xml:space="preserve">Si le choix d’adopter un ERP est une activité de nature stratégique pour les PME, il apparaît </w:t>
      </w:r>
      <w:r>
        <w:rPr>
          <w:rFonts w:ascii="Times New Roman" w:hAnsi="Times New Roman"/>
        </w:rPr>
        <w:t xml:space="preserve">pertinent </w:t>
      </w:r>
      <w:r w:rsidRPr="00C80AA5">
        <w:rPr>
          <w:rFonts w:ascii="Times New Roman" w:hAnsi="Times New Roman"/>
        </w:rPr>
        <w:t>de se questionner sur le lien avec l</w:t>
      </w:r>
      <w:r>
        <w:rPr>
          <w:rFonts w:ascii="Times New Roman" w:hAnsi="Times New Roman"/>
        </w:rPr>
        <w:t xml:space="preserve">es priorités stratégiques </w:t>
      </w:r>
      <w:r w:rsidRPr="00C80AA5">
        <w:rPr>
          <w:rFonts w:ascii="Times New Roman" w:hAnsi="Times New Roman"/>
        </w:rPr>
        <w:t xml:space="preserve">de l’entreprise. Notre recherche vise donc à analyser ce lien, pour le cas spécifique des ERP </w:t>
      </w:r>
      <w:r>
        <w:rPr>
          <w:rFonts w:ascii="Times New Roman" w:hAnsi="Times New Roman"/>
        </w:rPr>
        <w:t>dans les</w:t>
      </w:r>
      <w:r w:rsidRPr="00C80AA5">
        <w:rPr>
          <w:rFonts w:ascii="Times New Roman" w:hAnsi="Times New Roman"/>
        </w:rPr>
        <w:t xml:space="preserve"> PME. Notre question de recherche peut alors être formulée de la façon suivante : existe-t-il une influence de la stratégie de</w:t>
      </w:r>
      <w:r>
        <w:rPr>
          <w:rFonts w:ascii="Times New Roman" w:hAnsi="Times New Roman"/>
        </w:rPr>
        <w:t xml:space="preserve">s </w:t>
      </w:r>
      <w:r w:rsidRPr="00C80AA5">
        <w:rPr>
          <w:rFonts w:ascii="Times New Roman" w:hAnsi="Times New Roman"/>
        </w:rPr>
        <w:t xml:space="preserve">PME sur </w:t>
      </w:r>
      <w:r>
        <w:rPr>
          <w:rFonts w:ascii="Times New Roman" w:hAnsi="Times New Roman"/>
        </w:rPr>
        <w:t xml:space="preserve">leur </w:t>
      </w:r>
      <w:r w:rsidRPr="00C80AA5">
        <w:rPr>
          <w:rFonts w:ascii="Times New Roman" w:hAnsi="Times New Roman"/>
        </w:rPr>
        <w:t xml:space="preserve">décision d’adopter un ERP ?  </w:t>
      </w:r>
    </w:p>
    <w:p w:rsidR="001F2E7F" w:rsidRDefault="001F2E7F" w:rsidP="00611586">
      <w:pPr>
        <w:jc w:val="both"/>
        <w:rPr>
          <w:rFonts w:ascii="Times New Roman" w:hAnsi="Times New Roman"/>
        </w:rPr>
      </w:pPr>
      <w:r w:rsidRPr="003D4BFE">
        <w:rPr>
          <w:rFonts w:ascii="Times New Roman" w:hAnsi="Times New Roman"/>
        </w:rPr>
        <w:t>Pendant la phase d’arbitrage qui précède l’adoption ou non d’un ERP, les entreprises analysent l’utilité réelle d’un tel outil en fonction de plusieurs paramètres. Une multitude de classifications de ces motivations ont été opérées dans la littérature (Olivier et Romm, 2000 ; Ross, 1999</w:t>
      </w:r>
      <w:r>
        <w:rPr>
          <w:rFonts w:ascii="Times New Roman" w:hAnsi="Times New Roman"/>
        </w:rPr>
        <w:t> ; Buonnano et al. 2005</w:t>
      </w:r>
      <w:r w:rsidRPr="003D4BFE">
        <w:rPr>
          <w:rFonts w:ascii="Times New Roman" w:hAnsi="Times New Roman"/>
        </w:rPr>
        <w:t xml:space="preserve">). Même si les appellations des catégories diffèrent selon les auteurs, leurs contenus sont similaires et évoquent à quelques exceptions près, les mêmes facteurs explicatifs de l’adoption des ERP. Dans notre recherche, nous classons ces déterminants en </w:t>
      </w:r>
      <w:r>
        <w:rPr>
          <w:rFonts w:ascii="Times New Roman" w:hAnsi="Times New Roman"/>
        </w:rPr>
        <w:t>trois</w:t>
      </w:r>
      <w:r w:rsidRPr="003D4BFE">
        <w:rPr>
          <w:rFonts w:ascii="Times New Roman" w:hAnsi="Times New Roman"/>
        </w:rPr>
        <w:t xml:space="preserve"> catégories : les caractéristiques générales de la firme, son profil informatique </w:t>
      </w:r>
      <w:r>
        <w:rPr>
          <w:rFonts w:ascii="Times New Roman" w:hAnsi="Times New Roman"/>
        </w:rPr>
        <w:t xml:space="preserve">et ses </w:t>
      </w:r>
      <w:r w:rsidRPr="003D4BFE">
        <w:rPr>
          <w:rFonts w:ascii="Times New Roman" w:hAnsi="Times New Roman"/>
        </w:rPr>
        <w:t>priorités stratégiques.</w:t>
      </w:r>
      <w:r>
        <w:rPr>
          <w:rFonts w:ascii="Times New Roman" w:hAnsi="Times New Roman"/>
        </w:rPr>
        <w:t xml:space="preserve"> Pour les deux premières catégories de facteurs, nous mobilisons les résultats existants dans la littérature. Pour la troisième catégorie, relative au facteur stratégique, nous formulons des hypothèses spécifiques. </w:t>
      </w:r>
    </w:p>
    <w:p w:rsidR="001F2E7F" w:rsidRPr="00C80AA5" w:rsidRDefault="001F2E7F" w:rsidP="00611586">
      <w:pPr>
        <w:jc w:val="both"/>
        <w:rPr>
          <w:rFonts w:ascii="Times New Roman" w:hAnsi="Times New Roman"/>
        </w:rPr>
      </w:pPr>
    </w:p>
    <w:p w:rsidR="001F2E7F" w:rsidRDefault="001F2E7F" w:rsidP="00611586">
      <w:pPr>
        <w:jc w:val="both"/>
        <w:rPr>
          <w:rFonts w:ascii="Times New Roman" w:hAnsi="Times New Roman"/>
          <w:b/>
        </w:rPr>
      </w:pPr>
      <w:r>
        <w:rPr>
          <w:rFonts w:ascii="Times New Roman" w:hAnsi="Times New Roman"/>
          <w:b/>
        </w:rPr>
        <w:t>2. H</w:t>
      </w:r>
      <w:r w:rsidRPr="002E02A6">
        <w:rPr>
          <w:rFonts w:ascii="Times New Roman" w:hAnsi="Times New Roman"/>
          <w:b/>
        </w:rPr>
        <w:t>ypothèse</w:t>
      </w:r>
      <w:r>
        <w:rPr>
          <w:rFonts w:ascii="Times New Roman" w:hAnsi="Times New Roman"/>
          <w:b/>
        </w:rPr>
        <w:t>s</w:t>
      </w:r>
    </w:p>
    <w:p w:rsidR="001F2E7F" w:rsidRDefault="001F2E7F" w:rsidP="00680459">
      <w:pPr>
        <w:jc w:val="both"/>
        <w:rPr>
          <w:rFonts w:ascii="Times New Roman" w:hAnsi="Times New Roman"/>
        </w:rPr>
      </w:pPr>
      <w:r>
        <w:rPr>
          <w:rFonts w:ascii="Times New Roman" w:hAnsi="Times New Roman"/>
        </w:rPr>
        <w:t>N</w:t>
      </w:r>
      <w:r w:rsidRPr="006A2556">
        <w:rPr>
          <w:rFonts w:ascii="Times New Roman" w:hAnsi="Times New Roman"/>
        </w:rPr>
        <w:t xml:space="preserve">ous soutenons l’idée que l’ERP n’est pas un déterminant de la stratégie des entreprises, mais vient soutenir la stratégie existante. Comme l’indique Mourrain (2011) au travers de douze étude de cas d’ERP en PME, « </w:t>
      </w:r>
      <w:r w:rsidRPr="006A2556">
        <w:rPr>
          <w:rFonts w:ascii="Times New Roman" w:hAnsi="Times New Roman"/>
          <w:i/>
        </w:rPr>
        <w:t>Les entreprises de notre échantillon n’attendent pas du projet d’intégration des SI/TI un effet direct sur leur stratégie d’affaires</w:t>
      </w:r>
      <w:r w:rsidRPr="006A2556">
        <w:rPr>
          <w:rFonts w:ascii="Times New Roman" w:hAnsi="Times New Roman"/>
        </w:rPr>
        <w:t xml:space="preserve"> » (p.10). Notre recherche se positionne bien dans une approche où l’ERP participe et soutient la mise en œuvre de choix stratégiques faits en amont. Dans cette approche, l’ERP devie</w:t>
      </w:r>
      <w:r>
        <w:rPr>
          <w:rFonts w:ascii="Times New Roman" w:hAnsi="Times New Roman"/>
        </w:rPr>
        <w:t>nt une ressource pour réaliser l</w:t>
      </w:r>
      <w:r w:rsidRPr="006A2556">
        <w:rPr>
          <w:rFonts w:ascii="Times New Roman" w:hAnsi="Times New Roman"/>
        </w:rPr>
        <w:t>’avantage concurrentiel visé (Kalling, 2003). Se pose alors la question de savoir si l’ERP est plus adapté à certaines stratégies qu’à d’autres.</w:t>
      </w:r>
    </w:p>
    <w:p w:rsidR="001F2E7F" w:rsidRDefault="001F2E7F" w:rsidP="00680459">
      <w:pPr>
        <w:jc w:val="both"/>
        <w:rPr>
          <w:rFonts w:ascii="Times New Roman" w:hAnsi="Times New Roman"/>
        </w:rPr>
      </w:pPr>
      <w:r w:rsidRPr="006A2556">
        <w:rPr>
          <w:rFonts w:ascii="Times New Roman" w:hAnsi="Times New Roman"/>
        </w:rPr>
        <w:t>Stratman (2007) distingue deux formes d’orientations stratégiques : le focus stratégique sur les opérations (l’amélioration interne) et le focus stratégique sur le marché (l’amélioration vis-à-vis des clients et des concurrents). Nous reprenons ces deux catégories de priorités stratégiques en modifiant légèrement celle relative au focus sur le marché que nous élargissons à la notion de focus sur le produit/service offert au client, tel qu’appréhendé par Yen et Sheu (2004). Au final, nous pouvons compter la personnalisation, l’innovation et la qualité technique comme trois priorités concurrentielles « centrées produit ». Ces priorités sont complétées par deux priorités concurrentielles centrées sur les « conditions de l’offre » concernant le processus de production : réactivité vis-à-vis des clients et politique de prix.</w:t>
      </w:r>
    </w:p>
    <w:p w:rsidR="001F2E7F" w:rsidRDefault="001F2E7F" w:rsidP="00680459">
      <w:pPr>
        <w:jc w:val="both"/>
        <w:rPr>
          <w:rFonts w:ascii="Times New Roman" w:hAnsi="Times New Roman"/>
        </w:rPr>
      </w:pPr>
      <w:r>
        <w:rPr>
          <w:rFonts w:ascii="Times New Roman" w:hAnsi="Times New Roman"/>
        </w:rPr>
        <w:t xml:space="preserve">La littérature existante </w:t>
      </w:r>
      <w:r w:rsidRPr="006A2556">
        <w:rPr>
          <w:rFonts w:ascii="Times New Roman" w:hAnsi="Times New Roman"/>
        </w:rPr>
        <w:t>accrédite l’idée que les entreprises qui se focalisent sur une stratégie d’efficience opérationnelle adoptent des TI qui répondent à ce besoin, dont les ERP. Ainsi, les PME qui focalisent leurs priorités stratégiques sur les conditions de l’offre aux clients et l’optimisation du processus de production, peuvent être rapprochées du groupe des « défenseurs » de la typologie de Miles et Snow. Ce type d’entreprises développe peu de produits nouveaux et se centre sur leur efficience opérationnelle afin de proposer des produits à bas coûts, une livraison rapide, et l’obtention d’économies d’échelles (Raymond et Bergeron, 2008). Les entreprises ayant des stratégies plus agressives (« prospecteurs », « analystes ») investissent, elles, plutôt dans les TI aidant à la prise de décision, l’analyse des marchés ou des concurrents (Sabherwal et Chan, 2001). En définitive, nous soutenons l’hypothèse que ce sont les entreprises qui ont pour priorités stratégiques l’optimisation de leur efficience opérationnelle qui sont plus enclines à adopter un ERP. Les stratégies concurrentielles directement centrées sur le produit (innovation, personnalisation…) n</w:t>
      </w:r>
      <w:r>
        <w:rPr>
          <w:rFonts w:ascii="Times New Roman" w:hAnsi="Times New Roman"/>
        </w:rPr>
        <w:t>’influencent pas le choix d’adopter ou non un ERP.</w:t>
      </w:r>
    </w:p>
    <w:p w:rsidR="001F2E7F" w:rsidRPr="006D1D69" w:rsidRDefault="001F2E7F" w:rsidP="00C23022">
      <w:pPr>
        <w:jc w:val="both"/>
        <w:rPr>
          <w:rFonts w:ascii="Times New Roman" w:hAnsi="Times New Roman"/>
          <w:i/>
        </w:rPr>
      </w:pPr>
      <w:r w:rsidRPr="006D1D69">
        <w:rPr>
          <w:rFonts w:ascii="Times New Roman" w:hAnsi="Times New Roman"/>
          <w:i/>
        </w:rPr>
        <w:t xml:space="preserve">Hypothèse 1 : L’adoption par une PME d’une stratégie centrée sur les conditions de l’offre influence positivement le recours à un ERP. </w:t>
      </w:r>
    </w:p>
    <w:p w:rsidR="001F2E7F" w:rsidRPr="006D1D69" w:rsidRDefault="001F2E7F" w:rsidP="00C23022">
      <w:pPr>
        <w:jc w:val="both"/>
        <w:rPr>
          <w:rFonts w:ascii="Times New Roman" w:hAnsi="Times New Roman"/>
          <w:i/>
        </w:rPr>
      </w:pPr>
      <w:r w:rsidRPr="006D1D69">
        <w:rPr>
          <w:rFonts w:ascii="Times New Roman" w:hAnsi="Times New Roman"/>
          <w:i/>
        </w:rPr>
        <w:t>Hypothèse 2 : L’adoption par une PME d’une stratégie centrée sur les produits n’a pas d’influence sur le recours à un ERP.</w:t>
      </w:r>
    </w:p>
    <w:p w:rsidR="001F2E7F" w:rsidRDefault="001F2E7F" w:rsidP="007A78A9">
      <w:pPr>
        <w:jc w:val="both"/>
        <w:rPr>
          <w:rFonts w:ascii="Times New Roman" w:hAnsi="Times New Roman"/>
          <w:b/>
        </w:rPr>
      </w:pPr>
      <w:r>
        <w:rPr>
          <w:rFonts w:ascii="Times New Roman" w:hAnsi="Times New Roman"/>
          <w:b/>
        </w:rPr>
        <w:t>3. M</w:t>
      </w:r>
      <w:r w:rsidRPr="002E02A6">
        <w:rPr>
          <w:rFonts w:ascii="Times New Roman" w:hAnsi="Times New Roman"/>
          <w:b/>
        </w:rPr>
        <w:t>éthodologie</w:t>
      </w:r>
    </w:p>
    <w:p w:rsidR="001F2E7F" w:rsidRDefault="001F2E7F" w:rsidP="007A78A9">
      <w:pPr>
        <w:jc w:val="both"/>
        <w:rPr>
          <w:rFonts w:ascii="Times New Roman" w:hAnsi="Times New Roman"/>
        </w:rPr>
      </w:pPr>
      <w:r>
        <w:rPr>
          <w:rFonts w:ascii="Times New Roman" w:hAnsi="Times New Roman"/>
        </w:rPr>
        <w:t xml:space="preserve">Dans ce travail, nous mobilisons les données d’une enquête réalisée en 2008 par </w:t>
      </w:r>
      <w:r w:rsidRPr="00C80AA5">
        <w:rPr>
          <w:rFonts w:ascii="Times New Roman" w:hAnsi="Times New Roman"/>
        </w:rPr>
        <w:t>M@rsouin</w:t>
      </w:r>
      <w:r>
        <w:rPr>
          <w:rFonts w:ascii="Times New Roman" w:hAnsi="Times New Roman"/>
        </w:rPr>
        <w:t>,</w:t>
      </w:r>
      <w:r w:rsidRPr="00C80AA5">
        <w:rPr>
          <w:rFonts w:ascii="Times New Roman" w:hAnsi="Times New Roman"/>
        </w:rPr>
        <w:t xml:space="preserve"> </w:t>
      </w:r>
      <w:r>
        <w:rPr>
          <w:rFonts w:ascii="Times New Roman" w:hAnsi="Times New Roman"/>
        </w:rPr>
        <w:t>qui conduit régulièrement des</w:t>
      </w:r>
      <w:r w:rsidRPr="00C80AA5">
        <w:rPr>
          <w:rFonts w:ascii="Times New Roman" w:hAnsi="Times New Roman"/>
        </w:rPr>
        <w:t xml:space="preserve"> enquête</w:t>
      </w:r>
      <w:r>
        <w:rPr>
          <w:rFonts w:ascii="Times New Roman" w:hAnsi="Times New Roman"/>
        </w:rPr>
        <w:t>s</w:t>
      </w:r>
      <w:r w:rsidRPr="00C80AA5">
        <w:rPr>
          <w:rFonts w:ascii="Times New Roman" w:hAnsi="Times New Roman"/>
        </w:rPr>
        <w:t xml:space="preserve"> auprès d’un échantillon représentatif de PME (de 10 à 250 salariés) localisées en région Bretagne, port</w:t>
      </w:r>
      <w:r>
        <w:rPr>
          <w:rFonts w:ascii="Times New Roman" w:hAnsi="Times New Roman"/>
        </w:rPr>
        <w:t>ant</w:t>
      </w:r>
      <w:r w:rsidRPr="00C80AA5">
        <w:rPr>
          <w:rFonts w:ascii="Times New Roman" w:hAnsi="Times New Roman"/>
        </w:rPr>
        <w:t xml:space="preserve"> sur leurs usages des Technologies de l’Information et de </w:t>
      </w:r>
      <w:smartTag w:uri="urn:schemas-microsoft-com:office:smarttags" w:element="PersonName">
        <w:smartTagPr>
          <w:attr w:name="ProductID" w:val="la Communication"/>
        </w:smartTagPr>
        <w:r w:rsidRPr="00C80AA5">
          <w:rPr>
            <w:rFonts w:ascii="Times New Roman" w:hAnsi="Times New Roman"/>
          </w:rPr>
          <w:t>la Communication</w:t>
        </w:r>
      </w:smartTag>
      <w:r w:rsidRPr="00C80AA5">
        <w:rPr>
          <w:rFonts w:ascii="Times New Roman" w:hAnsi="Times New Roman"/>
        </w:rPr>
        <w:t xml:space="preserve"> (TIC).</w:t>
      </w:r>
      <w:r>
        <w:rPr>
          <w:rFonts w:ascii="Times New Roman" w:hAnsi="Times New Roman"/>
        </w:rPr>
        <w:t xml:space="preserve"> </w:t>
      </w:r>
    </w:p>
    <w:p w:rsidR="001F2E7F" w:rsidRDefault="001F2E7F" w:rsidP="007A78A9">
      <w:pPr>
        <w:jc w:val="both"/>
        <w:rPr>
          <w:rFonts w:ascii="Times New Roman" w:hAnsi="Times New Roman"/>
        </w:rPr>
      </w:pPr>
      <w:r w:rsidRPr="003049C4">
        <w:rPr>
          <w:rFonts w:ascii="Times New Roman" w:hAnsi="Times New Roman"/>
        </w:rPr>
        <w:t>Pour tester nos deux hypothèses sur les déterminants de l’adoption d’un ERP, nous utilisons un modèle de choix discret de type Logit (Cramer, 1991). Dans ce modèle, la variable « </w:t>
      </w:r>
      <w:r w:rsidRPr="003049C4">
        <w:rPr>
          <w:rFonts w:ascii="Times New Roman" w:hAnsi="Times New Roman"/>
          <w:i/>
        </w:rPr>
        <w:t>Adopt ERP</w:t>
      </w:r>
      <w:r w:rsidRPr="003049C4">
        <w:rPr>
          <w:rFonts w:ascii="Times New Roman" w:hAnsi="Times New Roman"/>
        </w:rPr>
        <w:t> » qui est notre variable dépendante vaut 1 si la PME choisit d’adopter un système ERP et 0 sinon.</w:t>
      </w:r>
      <w:r>
        <w:rPr>
          <w:rFonts w:ascii="Times New Roman" w:hAnsi="Times New Roman"/>
        </w:rPr>
        <w:t xml:space="preserve"> </w:t>
      </w:r>
    </w:p>
    <w:p w:rsidR="001F2E7F" w:rsidRPr="00723A43" w:rsidRDefault="001F2E7F" w:rsidP="009D4AFE">
      <w:pPr>
        <w:jc w:val="both"/>
        <w:rPr>
          <w:rFonts w:ascii="Times New Roman" w:hAnsi="Times New Roman"/>
        </w:rPr>
      </w:pPr>
      <w:r w:rsidRPr="00723A43">
        <w:rPr>
          <w:rFonts w:ascii="Times New Roman" w:hAnsi="Times New Roman"/>
        </w:rPr>
        <w:t xml:space="preserve">254 entreprises (13% des répondants) ont répondu positivement à la question sur l’adoption d’un ERP. Cette réponse est ensuite filtrée grâce à deux types de questions additionnelles : une série de questions sur les modules ERP déployés ; une question sur le nom du logiciel et de l’éditeur de l’ERP. Ces différents filtres amènent à réduire le nombre d’entreprises utilisant effectivement un ERP à 84, soit un taux d’adoption de 4,2%. Cette réduction drastique est principalement due à la confusion faite par les répondants entre les ERP et d’autres applicatifs comme les MRP, la GPAO ou les logiciels financiers. Le concept d’ERP apparait donc comme flou dans la pratique. </w:t>
      </w:r>
    </w:p>
    <w:p w:rsidR="001F2E7F" w:rsidRDefault="001F2E7F" w:rsidP="009D4AFE">
      <w:pPr>
        <w:jc w:val="both"/>
        <w:rPr>
          <w:rFonts w:ascii="Times New Roman" w:hAnsi="Times New Roman"/>
        </w:rPr>
      </w:pPr>
      <w:r w:rsidRPr="00723A43">
        <w:rPr>
          <w:rFonts w:ascii="Times New Roman" w:hAnsi="Times New Roman"/>
        </w:rPr>
        <w:t>Après avoir exclu les répondants ayant trop de réponses manquantes, le nombre final d’entreprise</w:t>
      </w:r>
      <w:r>
        <w:rPr>
          <w:rFonts w:ascii="Times New Roman" w:hAnsi="Times New Roman"/>
        </w:rPr>
        <w:t>s</w:t>
      </w:r>
      <w:r w:rsidRPr="00723A43">
        <w:rPr>
          <w:rFonts w:ascii="Times New Roman" w:hAnsi="Times New Roman"/>
        </w:rPr>
        <w:t xml:space="preserve"> considéré pour cette recherche est de 81. Nous sommes alors confiants dans la qualité des données qui sont utilisées pour tester les hypothèses.</w:t>
      </w:r>
    </w:p>
    <w:p w:rsidR="001F2E7F" w:rsidRDefault="001F2E7F" w:rsidP="007A78A9">
      <w:pPr>
        <w:jc w:val="both"/>
        <w:rPr>
          <w:rFonts w:ascii="Times New Roman" w:hAnsi="Times New Roman"/>
        </w:rPr>
      </w:pPr>
      <w:r>
        <w:rPr>
          <w:rFonts w:ascii="Times New Roman" w:hAnsi="Times New Roman"/>
        </w:rPr>
        <w:t xml:space="preserve">Trois catégories de variables sont introduites dans le modèle pour expliquer la probabilité d’adoption : </w:t>
      </w:r>
      <w:r w:rsidRPr="003D4BFE">
        <w:rPr>
          <w:rFonts w:ascii="Times New Roman" w:hAnsi="Times New Roman"/>
        </w:rPr>
        <w:t xml:space="preserve">les caractéristiques générales de la </w:t>
      </w:r>
      <w:r>
        <w:rPr>
          <w:rFonts w:ascii="Times New Roman" w:hAnsi="Times New Roman"/>
        </w:rPr>
        <w:t xml:space="preserve">firme, son profil informatique et ses </w:t>
      </w:r>
      <w:r w:rsidRPr="003D4BFE">
        <w:rPr>
          <w:rFonts w:ascii="Times New Roman" w:hAnsi="Times New Roman"/>
        </w:rPr>
        <w:t>priorités stratégiques.</w:t>
      </w:r>
    </w:p>
    <w:p w:rsidR="001F2E7F" w:rsidRPr="002E02A6" w:rsidRDefault="001F2E7F" w:rsidP="00644E6F">
      <w:pPr>
        <w:jc w:val="both"/>
        <w:rPr>
          <w:rFonts w:ascii="Times New Roman" w:hAnsi="Times New Roman"/>
          <w:b/>
        </w:rPr>
      </w:pPr>
      <w:r>
        <w:rPr>
          <w:rFonts w:ascii="Times New Roman" w:hAnsi="Times New Roman"/>
          <w:b/>
        </w:rPr>
        <w:t>4. R</w:t>
      </w:r>
      <w:r w:rsidRPr="002E02A6">
        <w:rPr>
          <w:rFonts w:ascii="Times New Roman" w:hAnsi="Times New Roman"/>
          <w:b/>
        </w:rPr>
        <w:t>ésultats</w:t>
      </w:r>
    </w:p>
    <w:p w:rsidR="001F2E7F" w:rsidRDefault="001F2E7F" w:rsidP="007A78A9">
      <w:pPr>
        <w:jc w:val="both"/>
        <w:rPr>
          <w:rFonts w:ascii="Times New Roman" w:hAnsi="Times New Roman"/>
        </w:rPr>
      </w:pPr>
      <w:r>
        <w:rPr>
          <w:rFonts w:ascii="Times New Roman" w:hAnsi="Times New Roman"/>
        </w:rPr>
        <w:t xml:space="preserve">Le tableau ci-dessous résume les résultats obtenus par le </w:t>
      </w:r>
      <w:r w:rsidRPr="00554610">
        <w:rPr>
          <w:rFonts w:ascii="Times New Roman" w:hAnsi="Times New Roman"/>
        </w:rPr>
        <w:t>modèle de choix discret de type Logit</w:t>
      </w:r>
      <w:r>
        <w:rPr>
          <w:rFonts w:ascii="Times New Roman" w:hAnsi="Times New Roman"/>
        </w:rPr>
        <w:t xml:space="preserve">. Notre régression confirme les résultats de recherches antérieures et montre que les deux premières catégories de facteurs (les caractéristiques générales et le profil informatique de la PME) ont influencé positivement l’adoption. Concernant, les priorités stratégiques, seule la « réactivité » influence positivement la probabilité d’adopter un ERP. </w:t>
      </w:r>
    </w:p>
    <w:tbl>
      <w:tblPr>
        <w:tblW w:w="8740" w:type="dxa"/>
        <w:tblInd w:w="55" w:type="dxa"/>
        <w:tblCellMar>
          <w:left w:w="70" w:type="dxa"/>
          <w:right w:w="70" w:type="dxa"/>
        </w:tblCellMar>
        <w:tblLook w:val="00A0"/>
      </w:tblPr>
      <w:tblGrid>
        <w:gridCol w:w="3240"/>
        <w:gridCol w:w="2320"/>
        <w:gridCol w:w="1240"/>
        <w:gridCol w:w="1940"/>
      </w:tblGrid>
      <w:tr w:rsidR="001F2E7F" w:rsidRPr="003C722B" w:rsidTr="003C722B">
        <w:trPr>
          <w:trHeight w:val="300"/>
        </w:trPr>
        <w:tc>
          <w:tcPr>
            <w:tcW w:w="3240" w:type="dxa"/>
            <w:vMerge w:val="restart"/>
            <w:tcBorders>
              <w:top w:val="single" w:sz="8" w:space="0" w:color="auto"/>
              <w:left w:val="single" w:sz="8" w:space="0" w:color="auto"/>
              <w:bottom w:val="single" w:sz="8" w:space="0" w:color="000000"/>
              <w:right w:val="single" w:sz="8" w:space="0" w:color="auto"/>
            </w:tcBorders>
            <w:noWrap/>
            <w:vAlign w:val="center"/>
          </w:tcPr>
          <w:p w:rsidR="001F2E7F" w:rsidRPr="007F228E" w:rsidRDefault="001F2E7F" w:rsidP="003C722B">
            <w:pPr>
              <w:spacing w:after="0" w:line="240" w:lineRule="auto"/>
              <w:rPr>
                <w:color w:val="000000"/>
                <w:sz w:val="20"/>
                <w:szCs w:val="20"/>
                <w:lang w:eastAsia="fr-FR"/>
              </w:rPr>
            </w:pPr>
            <w:r w:rsidRPr="007F228E">
              <w:rPr>
                <w:color w:val="000000"/>
                <w:sz w:val="20"/>
                <w:szCs w:val="20"/>
                <w:lang w:eastAsia="fr-FR"/>
              </w:rPr>
              <w:t> </w:t>
            </w:r>
          </w:p>
        </w:tc>
        <w:tc>
          <w:tcPr>
            <w:tcW w:w="3560" w:type="dxa"/>
            <w:gridSpan w:val="2"/>
            <w:vMerge w:val="restart"/>
            <w:tcBorders>
              <w:top w:val="single" w:sz="8" w:space="0" w:color="auto"/>
              <w:left w:val="single" w:sz="8" w:space="0" w:color="auto"/>
              <w:bottom w:val="single" w:sz="8" w:space="0" w:color="000000"/>
              <w:right w:val="single" w:sz="8" w:space="0" w:color="000000"/>
            </w:tcBorders>
            <w:noWrap/>
            <w:vAlign w:val="center"/>
          </w:tcPr>
          <w:p w:rsidR="001F2E7F" w:rsidRPr="007F228E" w:rsidRDefault="001F2E7F" w:rsidP="003C722B">
            <w:pPr>
              <w:spacing w:after="0" w:line="240" w:lineRule="auto"/>
              <w:jc w:val="center"/>
              <w:rPr>
                <w:rFonts w:ascii="Cambria" w:hAnsi="Cambria"/>
                <w:b/>
                <w:bCs/>
                <w:color w:val="000000"/>
                <w:sz w:val="18"/>
                <w:szCs w:val="18"/>
                <w:lang w:eastAsia="fr-FR"/>
              </w:rPr>
            </w:pPr>
            <w:r w:rsidRPr="007F228E">
              <w:rPr>
                <w:rFonts w:ascii="Cambria" w:hAnsi="Cambria"/>
                <w:b/>
                <w:bCs/>
                <w:color w:val="000000"/>
                <w:sz w:val="18"/>
                <w:szCs w:val="18"/>
                <w:lang w:eastAsia="fr-FR"/>
              </w:rPr>
              <w:t>Variables explicatives</w:t>
            </w:r>
          </w:p>
        </w:tc>
        <w:tc>
          <w:tcPr>
            <w:tcW w:w="1940" w:type="dxa"/>
            <w:vMerge w:val="restart"/>
            <w:tcBorders>
              <w:top w:val="single" w:sz="8" w:space="0" w:color="auto"/>
              <w:left w:val="single" w:sz="8" w:space="0" w:color="auto"/>
              <w:bottom w:val="single" w:sz="8" w:space="0" w:color="000000"/>
              <w:right w:val="single" w:sz="8" w:space="0" w:color="auto"/>
            </w:tcBorders>
            <w:noWrap/>
            <w:vAlign w:val="center"/>
          </w:tcPr>
          <w:p w:rsidR="001F2E7F" w:rsidRPr="007F228E" w:rsidRDefault="001F2E7F" w:rsidP="003C722B">
            <w:pPr>
              <w:spacing w:after="0" w:line="240" w:lineRule="auto"/>
              <w:jc w:val="center"/>
              <w:rPr>
                <w:rFonts w:ascii="Cambria" w:hAnsi="Cambria"/>
                <w:b/>
                <w:bCs/>
                <w:color w:val="000000"/>
                <w:sz w:val="18"/>
                <w:szCs w:val="18"/>
                <w:lang w:eastAsia="fr-FR"/>
              </w:rPr>
            </w:pPr>
            <w:r w:rsidRPr="007F228E">
              <w:rPr>
                <w:rFonts w:ascii="Cambria" w:hAnsi="Cambria"/>
                <w:b/>
                <w:bCs/>
                <w:color w:val="000000"/>
                <w:sz w:val="18"/>
                <w:szCs w:val="18"/>
                <w:lang w:eastAsia="fr-FR"/>
              </w:rPr>
              <w:t>impact sur l'adoption</w:t>
            </w:r>
          </w:p>
        </w:tc>
      </w:tr>
      <w:tr w:rsidR="001F2E7F" w:rsidRPr="003C722B" w:rsidTr="003C722B">
        <w:trPr>
          <w:trHeight w:val="320"/>
        </w:trPr>
        <w:tc>
          <w:tcPr>
            <w:tcW w:w="3240" w:type="dxa"/>
            <w:vMerge/>
            <w:tcBorders>
              <w:top w:val="single" w:sz="8" w:space="0" w:color="auto"/>
              <w:left w:val="single" w:sz="8" w:space="0" w:color="auto"/>
              <w:bottom w:val="single" w:sz="8" w:space="0" w:color="000000"/>
              <w:right w:val="single" w:sz="8" w:space="0" w:color="auto"/>
            </w:tcBorders>
            <w:vAlign w:val="center"/>
          </w:tcPr>
          <w:p w:rsidR="001F2E7F" w:rsidRPr="007F228E" w:rsidRDefault="001F2E7F" w:rsidP="003C722B">
            <w:pPr>
              <w:spacing w:after="0" w:line="240" w:lineRule="auto"/>
              <w:rPr>
                <w:color w:val="000000"/>
                <w:sz w:val="20"/>
                <w:szCs w:val="20"/>
                <w:lang w:eastAsia="fr-FR"/>
              </w:rPr>
            </w:pPr>
          </w:p>
        </w:tc>
        <w:tc>
          <w:tcPr>
            <w:tcW w:w="3560" w:type="dxa"/>
            <w:gridSpan w:val="2"/>
            <w:vMerge/>
            <w:tcBorders>
              <w:top w:val="single" w:sz="8" w:space="0" w:color="auto"/>
              <w:left w:val="single" w:sz="8" w:space="0" w:color="auto"/>
              <w:bottom w:val="single" w:sz="8" w:space="0" w:color="000000"/>
              <w:right w:val="single" w:sz="8" w:space="0" w:color="000000"/>
            </w:tcBorders>
            <w:vAlign w:val="center"/>
          </w:tcPr>
          <w:p w:rsidR="001F2E7F" w:rsidRPr="007F228E" w:rsidRDefault="001F2E7F" w:rsidP="003C722B">
            <w:pPr>
              <w:spacing w:after="0" w:line="240" w:lineRule="auto"/>
              <w:rPr>
                <w:rFonts w:ascii="Cambria" w:hAnsi="Cambria"/>
                <w:b/>
                <w:bCs/>
                <w:color w:val="000000"/>
                <w:sz w:val="18"/>
                <w:szCs w:val="18"/>
                <w:lang w:eastAsia="fr-FR"/>
              </w:rPr>
            </w:pPr>
          </w:p>
        </w:tc>
        <w:tc>
          <w:tcPr>
            <w:tcW w:w="1940" w:type="dxa"/>
            <w:vMerge/>
            <w:tcBorders>
              <w:top w:val="single" w:sz="8" w:space="0" w:color="auto"/>
              <w:left w:val="single" w:sz="8" w:space="0" w:color="auto"/>
              <w:bottom w:val="single" w:sz="8" w:space="0" w:color="000000"/>
              <w:right w:val="single" w:sz="8" w:space="0" w:color="auto"/>
            </w:tcBorders>
            <w:vAlign w:val="center"/>
          </w:tcPr>
          <w:p w:rsidR="001F2E7F" w:rsidRPr="007F228E" w:rsidRDefault="001F2E7F" w:rsidP="003C722B">
            <w:pPr>
              <w:spacing w:after="0" w:line="240" w:lineRule="auto"/>
              <w:rPr>
                <w:rFonts w:ascii="Cambria" w:hAnsi="Cambria"/>
                <w:b/>
                <w:bCs/>
                <w:color w:val="000000"/>
                <w:sz w:val="18"/>
                <w:szCs w:val="18"/>
                <w:lang w:eastAsia="fr-FR"/>
              </w:rPr>
            </w:pPr>
          </w:p>
        </w:tc>
      </w:tr>
      <w:tr w:rsidR="001F2E7F" w:rsidRPr="003C722B" w:rsidTr="003C722B">
        <w:trPr>
          <w:trHeight w:val="320"/>
        </w:trPr>
        <w:tc>
          <w:tcPr>
            <w:tcW w:w="3240" w:type="dxa"/>
            <w:vMerge w:val="restart"/>
            <w:tcBorders>
              <w:top w:val="nil"/>
              <w:left w:val="single" w:sz="8" w:space="0" w:color="auto"/>
              <w:bottom w:val="nil"/>
              <w:right w:val="single" w:sz="8" w:space="0" w:color="auto"/>
            </w:tcBorders>
            <w:noWrap/>
            <w:vAlign w:val="center"/>
          </w:tcPr>
          <w:p w:rsidR="001F2E7F" w:rsidRPr="007F228E" w:rsidRDefault="001F2E7F" w:rsidP="003C722B">
            <w:pPr>
              <w:spacing w:after="0" w:line="240" w:lineRule="auto"/>
              <w:jc w:val="center"/>
              <w:rPr>
                <w:rFonts w:ascii="Cambria" w:hAnsi="Cambria"/>
                <w:b/>
                <w:bCs/>
                <w:color w:val="000000"/>
                <w:sz w:val="18"/>
                <w:szCs w:val="18"/>
                <w:lang w:eastAsia="fr-FR"/>
              </w:rPr>
            </w:pPr>
            <w:r w:rsidRPr="007F228E">
              <w:rPr>
                <w:rFonts w:ascii="Cambria" w:hAnsi="Cambria"/>
                <w:b/>
                <w:bCs/>
                <w:color w:val="000000"/>
                <w:sz w:val="18"/>
                <w:szCs w:val="18"/>
                <w:lang w:eastAsia="fr-FR"/>
              </w:rPr>
              <w:t>Caractéristiques générales de la PME</w:t>
            </w:r>
          </w:p>
        </w:tc>
        <w:tc>
          <w:tcPr>
            <w:tcW w:w="3560" w:type="dxa"/>
            <w:gridSpan w:val="2"/>
            <w:tcBorders>
              <w:top w:val="single" w:sz="8" w:space="0" w:color="000000"/>
              <w:left w:val="nil"/>
              <w:bottom w:val="single" w:sz="8" w:space="0" w:color="auto"/>
              <w:right w:val="single" w:sz="8" w:space="0" w:color="000000"/>
            </w:tcBorders>
            <w:noWrap/>
            <w:vAlign w:val="center"/>
          </w:tcPr>
          <w:p w:rsidR="001F2E7F" w:rsidRPr="007F228E" w:rsidRDefault="001F2E7F" w:rsidP="003C722B">
            <w:pPr>
              <w:spacing w:after="0" w:line="240" w:lineRule="auto"/>
              <w:jc w:val="center"/>
              <w:rPr>
                <w:rFonts w:ascii="Cambria" w:hAnsi="Cambria"/>
                <w:color w:val="000000"/>
                <w:sz w:val="18"/>
                <w:szCs w:val="18"/>
                <w:lang w:eastAsia="fr-FR"/>
              </w:rPr>
            </w:pPr>
            <w:r w:rsidRPr="007F228E">
              <w:rPr>
                <w:rFonts w:ascii="Cambria" w:hAnsi="Cambria"/>
                <w:color w:val="000000"/>
                <w:sz w:val="18"/>
                <w:szCs w:val="18"/>
                <w:lang w:eastAsia="fr-FR"/>
              </w:rPr>
              <w:t>Taille</w:t>
            </w:r>
          </w:p>
        </w:tc>
        <w:tc>
          <w:tcPr>
            <w:tcW w:w="1940" w:type="dxa"/>
            <w:tcBorders>
              <w:top w:val="nil"/>
              <w:left w:val="nil"/>
              <w:bottom w:val="single" w:sz="8" w:space="0" w:color="auto"/>
              <w:right w:val="single" w:sz="8" w:space="0" w:color="auto"/>
            </w:tcBorders>
            <w:noWrap/>
            <w:vAlign w:val="center"/>
          </w:tcPr>
          <w:p w:rsidR="001F2E7F" w:rsidRPr="007F228E" w:rsidRDefault="001F2E7F" w:rsidP="003C722B">
            <w:pPr>
              <w:spacing w:after="0" w:line="240" w:lineRule="auto"/>
              <w:jc w:val="center"/>
              <w:rPr>
                <w:rFonts w:ascii="Cambria" w:hAnsi="Cambria"/>
                <w:color w:val="000000"/>
                <w:sz w:val="18"/>
                <w:szCs w:val="18"/>
                <w:lang w:eastAsia="fr-FR"/>
              </w:rPr>
            </w:pPr>
            <w:r w:rsidRPr="007F228E">
              <w:rPr>
                <w:rFonts w:ascii="Cambria" w:hAnsi="Cambria"/>
                <w:color w:val="000000"/>
                <w:sz w:val="18"/>
                <w:szCs w:val="18"/>
                <w:lang w:eastAsia="fr-FR"/>
              </w:rPr>
              <w:t>+</w:t>
            </w:r>
          </w:p>
        </w:tc>
      </w:tr>
      <w:tr w:rsidR="001F2E7F" w:rsidRPr="003C722B" w:rsidTr="003C722B">
        <w:trPr>
          <w:trHeight w:val="320"/>
        </w:trPr>
        <w:tc>
          <w:tcPr>
            <w:tcW w:w="3240" w:type="dxa"/>
            <w:vMerge/>
            <w:tcBorders>
              <w:top w:val="nil"/>
              <w:left w:val="single" w:sz="8" w:space="0" w:color="auto"/>
              <w:bottom w:val="nil"/>
              <w:right w:val="single" w:sz="8" w:space="0" w:color="auto"/>
            </w:tcBorders>
            <w:vAlign w:val="center"/>
          </w:tcPr>
          <w:p w:rsidR="001F2E7F" w:rsidRPr="007F228E" w:rsidRDefault="001F2E7F" w:rsidP="003C722B">
            <w:pPr>
              <w:spacing w:after="0" w:line="240" w:lineRule="auto"/>
              <w:rPr>
                <w:rFonts w:ascii="Cambria" w:hAnsi="Cambria"/>
                <w:b/>
                <w:bCs/>
                <w:color w:val="000000"/>
                <w:sz w:val="18"/>
                <w:szCs w:val="18"/>
                <w:lang w:eastAsia="fr-FR"/>
              </w:rPr>
            </w:pPr>
          </w:p>
        </w:tc>
        <w:tc>
          <w:tcPr>
            <w:tcW w:w="3560" w:type="dxa"/>
            <w:gridSpan w:val="2"/>
            <w:tcBorders>
              <w:top w:val="single" w:sz="8" w:space="0" w:color="auto"/>
              <w:left w:val="nil"/>
              <w:bottom w:val="single" w:sz="8" w:space="0" w:color="auto"/>
              <w:right w:val="single" w:sz="8" w:space="0" w:color="000000"/>
            </w:tcBorders>
            <w:noWrap/>
            <w:vAlign w:val="center"/>
          </w:tcPr>
          <w:p w:rsidR="001F2E7F" w:rsidRPr="007F228E" w:rsidRDefault="001F2E7F" w:rsidP="003C722B">
            <w:pPr>
              <w:spacing w:after="0" w:line="240" w:lineRule="auto"/>
              <w:jc w:val="center"/>
              <w:rPr>
                <w:rFonts w:ascii="Cambria" w:hAnsi="Cambria"/>
                <w:color w:val="000000"/>
                <w:sz w:val="18"/>
                <w:szCs w:val="18"/>
                <w:lang w:eastAsia="fr-FR"/>
              </w:rPr>
            </w:pPr>
            <w:r w:rsidRPr="007F228E">
              <w:rPr>
                <w:rFonts w:ascii="Cambria" w:hAnsi="Cambria"/>
                <w:color w:val="000000"/>
                <w:sz w:val="18"/>
                <w:szCs w:val="18"/>
                <w:lang w:eastAsia="fr-FR"/>
              </w:rPr>
              <w:t>Qualification des salariés</w:t>
            </w:r>
          </w:p>
        </w:tc>
        <w:tc>
          <w:tcPr>
            <w:tcW w:w="1940" w:type="dxa"/>
            <w:tcBorders>
              <w:top w:val="nil"/>
              <w:left w:val="nil"/>
              <w:bottom w:val="single" w:sz="8" w:space="0" w:color="auto"/>
              <w:right w:val="single" w:sz="8" w:space="0" w:color="auto"/>
            </w:tcBorders>
            <w:noWrap/>
            <w:vAlign w:val="center"/>
          </w:tcPr>
          <w:p w:rsidR="001F2E7F" w:rsidRPr="007F228E" w:rsidRDefault="001F2E7F" w:rsidP="003C722B">
            <w:pPr>
              <w:spacing w:after="0" w:line="240" w:lineRule="auto"/>
              <w:jc w:val="center"/>
              <w:rPr>
                <w:rFonts w:ascii="Cambria" w:hAnsi="Cambria"/>
                <w:color w:val="000000"/>
                <w:sz w:val="18"/>
                <w:szCs w:val="18"/>
                <w:lang w:eastAsia="fr-FR"/>
              </w:rPr>
            </w:pPr>
            <w:r w:rsidRPr="007F228E">
              <w:rPr>
                <w:rFonts w:ascii="Cambria" w:hAnsi="Cambria"/>
                <w:color w:val="000000"/>
                <w:sz w:val="18"/>
                <w:szCs w:val="18"/>
                <w:lang w:eastAsia="fr-FR"/>
              </w:rPr>
              <w:t>+</w:t>
            </w:r>
          </w:p>
        </w:tc>
      </w:tr>
      <w:tr w:rsidR="001F2E7F" w:rsidRPr="003C722B" w:rsidTr="003C722B">
        <w:trPr>
          <w:trHeight w:val="320"/>
        </w:trPr>
        <w:tc>
          <w:tcPr>
            <w:tcW w:w="3240" w:type="dxa"/>
            <w:vMerge/>
            <w:tcBorders>
              <w:top w:val="nil"/>
              <w:left w:val="single" w:sz="8" w:space="0" w:color="auto"/>
              <w:bottom w:val="nil"/>
              <w:right w:val="single" w:sz="8" w:space="0" w:color="auto"/>
            </w:tcBorders>
            <w:vAlign w:val="center"/>
          </w:tcPr>
          <w:p w:rsidR="001F2E7F" w:rsidRPr="007F228E" w:rsidRDefault="001F2E7F" w:rsidP="003C722B">
            <w:pPr>
              <w:spacing w:after="0" w:line="240" w:lineRule="auto"/>
              <w:rPr>
                <w:rFonts w:ascii="Cambria" w:hAnsi="Cambria"/>
                <w:b/>
                <w:bCs/>
                <w:color w:val="000000"/>
                <w:sz w:val="18"/>
                <w:szCs w:val="18"/>
                <w:lang w:eastAsia="fr-FR"/>
              </w:rPr>
            </w:pPr>
          </w:p>
        </w:tc>
        <w:tc>
          <w:tcPr>
            <w:tcW w:w="3560" w:type="dxa"/>
            <w:gridSpan w:val="2"/>
            <w:tcBorders>
              <w:top w:val="single" w:sz="8" w:space="0" w:color="auto"/>
              <w:left w:val="nil"/>
              <w:bottom w:val="single" w:sz="8" w:space="0" w:color="auto"/>
              <w:right w:val="single" w:sz="8" w:space="0" w:color="000000"/>
            </w:tcBorders>
            <w:noWrap/>
            <w:vAlign w:val="center"/>
          </w:tcPr>
          <w:p w:rsidR="001F2E7F" w:rsidRPr="007F228E" w:rsidRDefault="001F2E7F" w:rsidP="003C722B">
            <w:pPr>
              <w:spacing w:after="0" w:line="240" w:lineRule="auto"/>
              <w:jc w:val="center"/>
              <w:rPr>
                <w:rFonts w:ascii="Cambria" w:hAnsi="Cambria"/>
                <w:color w:val="000000"/>
                <w:sz w:val="18"/>
                <w:szCs w:val="18"/>
                <w:lang w:eastAsia="fr-FR"/>
              </w:rPr>
            </w:pPr>
            <w:r w:rsidRPr="007F228E">
              <w:rPr>
                <w:rFonts w:ascii="Cambria" w:hAnsi="Cambria"/>
                <w:color w:val="000000"/>
                <w:sz w:val="18"/>
                <w:szCs w:val="18"/>
                <w:lang w:eastAsia="fr-FR"/>
              </w:rPr>
              <w:t>Activité industrielle</w:t>
            </w:r>
          </w:p>
        </w:tc>
        <w:tc>
          <w:tcPr>
            <w:tcW w:w="1940" w:type="dxa"/>
            <w:tcBorders>
              <w:top w:val="nil"/>
              <w:left w:val="nil"/>
              <w:bottom w:val="single" w:sz="8" w:space="0" w:color="auto"/>
              <w:right w:val="single" w:sz="8" w:space="0" w:color="auto"/>
            </w:tcBorders>
            <w:noWrap/>
            <w:vAlign w:val="center"/>
          </w:tcPr>
          <w:p w:rsidR="001F2E7F" w:rsidRPr="007F228E" w:rsidRDefault="001F2E7F" w:rsidP="003C722B">
            <w:pPr>
              <w:spacing w:after="0" w:line="240" w:lineRule="auto"/>
              <w:jc w:val="center"/>
              <w:rPr>
                <w:rFonts w:ascii="Cambria" w:hAnsi="Cambria"/>
                <w:color w:val="000000"/>
                <w:sz w:val="18"/>
                <w:szCs w:val="18"/>
                <w:lang w:eastAsia="fr-FR"/>
              </w:rPr>
            </w:pPr>
            <w:r w:rsidRPr="007F228E">
              <w:rPr>
                <w:rFonts w:ascii="Cambria" w:hAnsi="Cambria"/>
                <w:color w:val="000000"/>
                <w:sz w:val="18"/>
                <w:szCs w:val="18"/>
                <w:lang w:eastAsia="fr-FR"/>
              </w:rPr>
              <w:t>+</w:t>
            </w:r>
          </w:p>
        </w:tc>
      </w:tr>
      <w:tr w:rsidR="001F2E7F" w:rsidRPr="003C722B" w:rsidTr="003C722B">
        <w:trPr>
          <w:trHeight w:val="740"/>
        </w:trPr>
        <w:tc>
          <w:tcPr>
            <w:tcW w:w="3240" w:type="dxa"/>
            <w:vMerge/>
            <w:tcBorders>
              <w:top w:val="nil"/>
              <w:left w:val="single" w:sz="8" w:space="0" w:color="auto"/>
              <w:bottom w:val="nil"/>
              <w:right w:val="single" w:sz="8" w:space="0" w:color="auto"/>
            </w:tcBorders>
            <w:vAlign w:val="center"/>
          </w:tcPr>
          <w:p w:rsidR="001F2E7F" w:rsidRPr="007F228E" w:rsidRDefault="001F2E7F" w:rsidP="003C722B">
            <w:pPr>
              <w:spacing w:after="0" w:line="240" w:lineRule="auto"/>
              <w:rPr>
                <w:rFonts w:ascii="Cambria" w:hAnsi="Cambria"/>
                <w:b/>
                <w:bCs/>
                <w:color w:val="000000"/>
                <w:sz w:val="18"/>
                <w:szCs w:val="18"/>
                <w:lang w:eastAsia="fr-FR"/>
              </w:rPr>
            </w:pPr>
          </w:p>
        </w:tc>
        <w:tc>
          <w:tcPr>
            <w:tcW w:w="2320" w:type="dxa"/>
            <w:vMerge w:val="restart"/>
            <w:tcBorders>
              <w:top w:val="nil"/>
              <w:left w:val="single" w:sz="8" w:space="0" w:color="auto"/>
              <w:bottom w:val="single" w:sz="8" w:space="0" w:color="000000"/>
              <w:right w:val="single" w:sz="8" w:space="0" w:color="auto"/>
            </w:tcBorders>
            <w:vAlign w:val="center"/>
          </w:tcPr>
          <w:p w:rsidR="001F2E7F" w:rsidRPr="007F228E" w:rsidRDefault="001F2E7F" w:rsidP="003C722B">
            <w:pPr>
              <w:spacing w:after="0" w:line="240" w:lineRule="auto"/>
              <w:jc w:val="center"/>
              <w:rPr>
                <w:rFonts w:ascii="Cambria" w:hAnsi="Cambria"/>
                <w:color w:val="000000"/>
                <w:sz w:val="18"/>
                <w:szCs w:val="18"/>
                <w:lang w:eastAsia="fr-FR"/>
              </w:rPr>
            </w:pPr>
            <w:r w:rsidRPr="007F228E">
              <w:rPr>
                <w:rFonts w:ascii="Cambria" w:hAnsi="Cambria"/>
                <w:color w:val="000000"/>
                <w:sz w:val="18"/>
                <w:szCs w:val="18"/>
                <w:lang w:eastAsia="fr-FR"/>
              </w:rPr>
              <w:t>Appartenance à un groupe et étendue géographique</w:t>
            </w:r>
          </w:p>
        </w:tc>
        <w:tc>
          <w:tcPr>
            <w:tcW w:w="1240" w:type="dxa"/>
            <w:tcBorders>
              <w:top w:val="nil"/>
              <w:left w:val="nil"/>
              <w:bottom w:val="single" w:sz="8" w:space="0" w:color="auto"/>
              <w:right w:val="single" w:sz="8" w:space="0" w:color="auto"/>
            </w:tcBorders>
            <w:vAlign w:val="center"/>
          </w:tcPr>
          <w:p w:rsidR="001F2E7F" w:rsidRPr="007F228E" w:rsidRDefault="001F2E7F" w:rsidP="003C722B">
            <w:pPr>
              <w:spacing w:after="0" w:line="240" w:lineRule="auto"/>
              <w:jc w:val="center"/>
              <w:rPr>
                <w:rFonts w:ascii="Cambria" w:hAnsi="Cambria"/>
                <w:color w:val="000000"/>
                <w:sz w:val="18"/>
                <w:szCs w:val="18"/>
                <w:lang w:eastAsia="fr-FR"/>
              </w:rPr>
            </w:pPr>
            <w:r w:rsidRPr="007F228E">
              <w:rPr>
                <w:rFonts w:ascii="Cambria" w:hAnsi="Cambria"/>
                <w:color w:val="000000"/>
                <w:sz w:val="18"/>
                <w:szCs w:val="18"/>
                <w:lang w:eastAsia="fr-FR"/>
              </w:rPr>
              <w:t>Appartenance à un groupe international</w:t>
            </w:r>
          </w:p>
        </w:tc>
        <w:tc>
          <w:tcPr>
            <w:tcW w:w="1940" w:type="dxa"/>
            <w:tcBorders>
              <w:top w:val="nil"/>
              <w:left w:val="nil"/>
              <w:bottom w:val="single" w:sz="8" w:space="0" w:color="auto"/>
              <w:right w:val="single" w:sz="8" w:space="0" w:color="auto"/>
            </w:tcBorders>
            <w:noWrap/>
            <w:vAlign w:val="center"/>
          </w:tcPr>
          <w:p w:rsidR="001F2E7F" w:rsidRPr="007F228E" w:rsidRDefault="001F2E7F" w:rsidP="003C722B">
            <w:pPr>
              <w:spacing w:after="0" w:line="240" w:lineRule="auto"/>
              <w:jc w:val="center"/>
              <w:rPr>
                <w:rFonts w:ascii="Cambria" w:hAnsi="Cambria"/>
                <w:color w:val="000000"/>
                <w:sz w:val="18"/>
                <w:szCs w:val="18"/>
                <w:lang w:eastAsia="fr-FR"/>
              </w:rPr>
            </w:pPr>
            <w:r w:rsidRPr="007F228E">
              <w:rPr>
                <w:rFonts w:ascii="Cambria" w:hAnsi="Cambria"/>
                <w:color w:val="000000"/>
                <w:sz w:val="18"/>
                <w:szCs w:val="18"/>
                <w:lang w:eastAsia="fr-FR"/>
              </w:rPr>
              <w:t>+++</w:t>
            </w:r>
          </w:p>
        </w:tc>
      </w:tr>
      <w:tr w:rsidR="001F2E7F" w:rsidRPr="003C722B" w:rsidTr="003C722B">
        <w:trPr>
          <w:trHeight w:val="980"/>
        </w:trPr>
        <w:tc>
          <w:tcPr>
            <w:tcW w:w="3240" w:type="dxa"/>
            <w:vMerge/>
            <w:tcBorders>
              <w:top w:val="nil"/>
              <w:left w:val="single" w:sz="8" w:space="0" w:color="auto"/>
              <w:bottom w:val="nil"/>
              <w:right w:val="single" w:sz="8" w:space="0" w:color="auto"/>
            </w:tcBorders>
            <w:vAlign w:val="center"/>
          </w:tcPr>
          <w:p w:rsidR="001F2E7F" w:rsidRPr="007F228E" w:rsidRDefault="001F2E7F" w:rsidP="003C722B">
            <w:pPr>
              <w:spacing w:after="0" w:line="240" w:lineRule="auto"/>
              <w:rPr>
                <w:rFonts w:ascii="Cambria" w:hAnsi="Cambria"/>
                <w:b/>
                <w:bCs/>
                <w:color w:val="000000"/>
                <w:sz w:val="18"/>
                <w:szCs w:val="18"/>
                <w:lang w:eastAsia="fr-FR"/>
              </w:rPr>
            </w:pPr>
          </w:p>
        </w:tc>
        <w:tc>
          <w:tcPr>
            <w:tcW w:w="2320" w:type="dxa"/>
            <w:vMerge/>
            <w:tcBorders>
              <w:top w:val="nil"/>
              <w:left w:val="single" w:sz="8" w:space="0" w:color="auto"/>
              <w:bottom w:val="single" w:sz="8" w:space="0" w:color="000000"/>
              <w:right w:val="single" w:sz="8" w:space="0" w:color="auto"/>
            </w:tcBorders>
            <w:vAlign w:val="center"/>
          </w:tcPr>
          <w:p w:rsidR="001F2E7F" w:rsidRPr="007F228E" w:rsidRDefault="001F2E7F" w:rsidP="003C722B">
            <w:pPr>
              <w:spacing w:after="0" w:line="240" w:lineRule="auto"/>
              <w:rPr>
                <w:rFonts w:ascii="Cambria" w:hAnsi="Cambria"/>
                <w:color w:val="000000"/>
                <w:sz w:val="18"/>
                <w:szCs w:val="18"/>
                <w:lang w:eastAsia="fr-FR"/>
              </w:rPr>
            </w:pPr>
          </w:p>
        </w:tc>
        <w:tc>
          <w:tcPr>
            <w:tcW w:w="1240" w:type="dxa"/>
            <w:tcBorders>
              <w:top w:val="nil"/>
              <w:left w:val="nil"/>
              <w:bottom w:val="single" w:sz="8" w:space="0" w:color="auto"/>
              <w:right w:val="single" w:sz="8" w:space="0" w:color="auto"/>
            </w:tcBorders>
            <w:vAlign w:val="center"/>
          </w:tcPr>
          <w:p w:rsidR="001F2E7F" w:rsidRPr="007F228E" w:rsidRDefault="001F2E7F" w:rsidP="003C722B">
            <w:pPr>
              <w:spacing w:after="0" w:line="240" w:lineRule="auto"/>
              <w:jc w:val="center"/>
              <w:rPr>
                <w:rFonts w:ascii="Cambria" w:hAnsi="Cambria"/>
                <w:color w:val="000000"/>
                <w:sz w:val="18"/>
                <w:szCs w:val="18"/>
                <w:lang w:eastAsia="fr-FR"/>
              </w:rPr>
            </w:pPr>
            <w:r w:rsidRPr="007F228E">
              <w:rPr>
                <w:rFonts w:ascii="Cambria" w:hAnsi="Cambria"/>
                <w:color w:val="000000"/>
                <w:sz w:val="18"/>
                <w:szCs w:val="18"/>
                <w:lang w:eastAsia="fr-FR"/>
              </w:rPr>
              <w:t>Appartenance à un groupe national ou régional</w:t>
            </w:r>
          </w:p>
        </w:tc>
        <w:tc>
          <w:tcPr>
            <w:tcW w:w="1940" w:type="dxa"/>
            <w:tcBorders>
              <w:top w:val="nil"/>
              <w:left w:val="nil"/>
              <w:bottom w:val="single" w:sz="8" w:space="0" w:color="auto"/>
              <w:right w:val="single" w:sz="8" w:space="0" w:color="auto"/>
            </w:tcBorders>
            <w:noWrap/>
            <w:vAlign w:val="center"/>
          </w:tcPr>
          <w:p w:rsidR="001F2E7F" w:rsidRPr="007F228E" w:rsidRDefault="001F2E7F" w:rsidP="003C722B">
            <w:pPr>
              <w:spacing w:after="0" w:line="240" w:lineRule="auto"/>
              <w:jc w:val="center"/>
              <w:rPr>
                <w:rFonts w:ascii="Cambria" w:hAnsi="Cambria"/>
                <w:color w:val="000000"/>
                <w:sz w:val="18"/>
                <w:szCs w:val="18"/>
                <w:lang w:eastAsia="fr-FR"/>
              </w:rPr>
            </w:pPr>
            <w:r w:rsidRPr="007F228E">
              <w:rPr>
                <w:rFonts w:ascii="Cambria" w:hAnsi="Cambria"/>
                <w:color w:val="000000"/>
                <w:sz w:val="18"/>
                <w:szCs w:val="18"/>
                <w:lang w:eastAsia="fr-FR"/>
              </w:rPr>
              <w:t>+</w:t>
            </w:r>
          </w:p>
        </w:tc>
      </w:tr>
      <w:tr w:rsidR="001F2E7F" w:rsidRPr="003C722B" w:rsidTr="003C722B">
        <w:trPr>
          <w:trHeight w:val="500"/>
        </w:trPr>
        <w:tc>
          <w:tcPr>
            <w:tcW w:w="3240" w:type="dxa"/>
            <w:vMerge/>
            <w:tcBorders>
              <w:top w:val="nil"/>
              <w:left w:val="single" w:sz="8" w:space="0" w:color="auto"/>
              <w:bottom w:val="nil"/>
              <w:right w:val="single" w:sz="8" w:space="0" w:color="auto"/>
            </w:tcBorders>
            <w:vAlign w:val="center"/>
          </w:tcPr>
          <w:p w:rsidR="001F2E7F" w:rsidRPr="007F228E" w:rsidRDefault="001F2E7F" w:rsidP="003C722B">
            <w:pPr>
              <w:spacing w:after="0" w:line="240" w:lineRule="auto"/>
              <w:rPr>
                <w:rFonts w:ascii="Cambria" w:hAnsi="Cambria"/>
                <w:b/>
                <w:bCs/>
                <w:color w:val="000000"/>
                <w:sz w:val="18"/>
                <w:szCs w:val="18"/>
                <w:lang w:eastAsia="fr-FR"/>
              </w:rPr>
            </w:pPr>
          </w:p>
        </w:tc>
        <w:tc>
          <w:tcPr>
            <w:tcW w:w="2320" w:type="dxa"/>
            <w:vMerge/>
            <w:tcBorders>
              <w:top w:val="nil"/>
              <w:left w:val="single" w:sz="8" w:space="0" w:color="auto"/>
              <w:bottom w:val="single" w:sz="8" w:space="0" w:color="000000"/>
              <w:right w:val="single" w:sz="8" w:space="0" w:color="auto"/>
            </w:tcBorders>
            <w:vAlign w:val="center"/>
          </w:tcPr>
          <w:p w:rsidR="001F2E7F" w:rsidRPr="007F228E" w:rsidRDefault="001F2E7F" w:rsidP="003C722B">
            <w:pPr>
              <w:spacing w:after="0" w:line="240" w:lineRule="auto"/>
              <w:rPr>
                <w:rFonts w:ascii="Cambria" w:hAnsi="Cambria"/>
                <w:color w:val="000000"/>
                <w:sz w:val="18"/>
                <w:szCs w:val="18"/>
                <w:lang w:eastAsia="fr-FR"/>
              </w:rPr>
            </w:pPr>
          </w:p>
        </w:tc>
        <w:tc>
          <w:tcPr>
            <w:tcW w:w="1240" w:type="dxa"/>
            <w:tcBorders>
              <w:top w:val="nil"/>
              <w:left w:val="nil"/>
              <w:bottom w:val="single" w:sz="8" w:space="0" w:color="auto"/>
              <w:right w:val="single" w:sz="8" w:space="0" w:color="auto"/>
            </w:tcBorders>
            <w:vAlign w:val="center"/>
          </w:tcPr>
          <w:p w:rsidR="001F2E7F" w:rsidRPr="007F228E" w:rsidRDefault="001F2E7F" w:rsidP="003C722B">
            <w:pPr>
              <w:spacing w:after="0" w:line="240" w:lineRule="auto"/>
              <w:jc w:val="center"/>
              <w:rPr>
                <w:rFonts w:ascii="Cambria" w:hAnsi="Cambria"/>
                <w:color w:val="000000"/>
                <w:sz w:val="18"/>
                <w:szCs w:val="18"/>
                <w:lang w:eastAsia="fr-FR"/>
              </w:rPr>
            </w:pPr>
            <w:r w:rsidRPr="007F228E">
              <w:rPr>
                <w:rFonts w:ascii="Cambria" w:hAnsi="Cambria"/>
                <w:color w:val="000000"/>
                <w:sz w:val="18"/>
                <w:szCs w:val="18"/>
                <w:lang w:eastAsia="fr-FR"/>
              </w:rPr>
              <w:t>PME indépendante</w:t>
            </w:r>
          </w:p>
        </w:tc>
        <w:tc>
          <w:tcPr>
            <w:tcW w:w="1940" w:type="dxa"/>
            <w:tcBorders>
              <w:top w:val="nil"/>
              <w:left w:val="nil"/>
              <w:bottom w:val="single" w:sz="8" w:space="0" w:color="auto"/>
              <w:right w:val="single" w:sz="8" w:space="0" w:color="auto"/>
            </w:tcBorders>
            <w:noWrap/>
            <w:vAlign w:val="center"/>
          </w:tcPr>
          <w:p w:rsidR="001F2E7F" w:rsidRPr="007F228E" w:rsidRDefault="001F2E7F" w:rsidP="003C722B">
            <w:pPr>
              <w:spacing w:after="0" w:line="240" w:lineRule="auto"/>
              <w:jc w:val="center"/>
              <w:rPr>
                <w:rFonts w:ascii="Cambria" w:hAnsi="Cambria"/>
                <w:color w:val="000000"/>
                <w:sz w:val="18"/>
                <w:szCs w:val="18"/>
                <w:lang w:eastAsia="fr-FR"/>
              </w:rPr>
            </w:pPr>
            <w:r w:rsidRPr="007F228E">
              <w:rPr>
                <w:rFonts w:ascii="Cambria" w:hAnsi="Cambria"/>
                <w:color w:val="000000"/>
                <w:sz w:val="18"/>
                <w:szCs w:val="18"/>
                <w:lang w:eastAsia="fr-FR"/>
              </w:rPr>
              <w:t>Réf</w:t>
            </w:r>
          </w:p>
        </w:tc>
      </w:tr>
      <w:tr w:rsidR="001F2E7F" w:rsidRPr="003C722B" w:rsidTr="003C722B">
        <w:trPr>
          <w:trHeight w:val="320"/>
        </w:trPr>
        <w:tc>
          <w:tcPr>
            <w:tcW w:w="3240" w:type="dxa"/>
            <w:vMerge w:val="restart"/>
            <w:tcBorders>
              <w:top w:val="single" w:sz="8" w:space="0" w:color="000000"/>
              <w:left w:val="single" w:sz="8" w:space="0" w:color="auto"/>
              <w:bottom w:val="nil"/>
              <w:right w:val="single" w:sz="8" w:space="0" w:color="auto"/>
            </w:tcBorders>
            <w:vAlign w:val="center"/>
          </w:tcPr>
          <w:p w:rsidR="001F2E7F" w:rsidRPr="007F228E" w:rsidRDefault="001F2E7F" w:rsidP="003C722B">
            <w:pPr>
              <w:spacing w:after="0" w:line="240" w:lineRule="auto"/>
              <w:jc w:val="center"/>
              <w:rPr>
                <w:rFonts w:ascii="Cambria" w:hAnsi="Cambria"/>
                <w:b/>
                <w:bCs/>
                <w:color w:val="000000"/>
                <w:sz w:val="18"/>
                <w:szCs w:val="18"/>
                <w:lang w:eastAsia="fr-FR"/>
              </w:rPr>
            </w:pPr>
            <w:r w:rsidRPr="007F228E">
              <w:rPr>
                <w:rFonts w:ascii="Cambria" w:hAnsi="Cambria"/>
                <w:b/>
                <w:bCs/>
                <w:color w:val="000000"/>
                <w:sz w:val="18"/>
                <w:szCs w:val="18"/>
                <w:lang w:eastAsia="fr-FR"/>
              </w:rPr>
              <w:t>Profil informatique de la PME</w:t>
            </w:r>
          </w:p>
        </w:tc>
        <w:tc>
          <w:tcPr>
            <w:tcW w:w="3560" w:type="dxa"/>
            <w:gridSpan w:val="2"/>
            <w:tcBorders>
              <w:top w:val="single" w:sz="8" w:space="0" w:color="auto"/>
              <w:left w:val="nil"/>
              <w:bottom w:val="single" w:sz="8" w:space="0" w:color="auto"/>
              <w:right w:val="single" w:sz="8" w:space="0" w:color="000000"/>
            </w:tcBorders>
            <w:noWrap/>
            <w:vAlign w:val="center"/>
          </w:tcPr>
          <w:p w:rsidR="001F2E7F" w:rsidRPr="007F228E" w:rsidRDefault="001F2E7F" w:rsidP="003C722B">
            <w:pPr>
              <w:spacing w:after="0" w:line="240" w:lineRule="auto"/>
              <w:jc w:val="center"/>
              <w:rPr>
                <w:rFonts w:ascii="Cambria" w:hAnsi="Cambria"/>
                <w:color w:val="000000"/>
                <w:sz w:val="18"/>
                <w:szCs w:val="18"/>
                <w:lang w:eastAsia="fr-FR"/>
              </w:rPr>
            </w:pPr>
            <w:r w:rsidRPr="007F228E">
              <w:rPr>
                <w:rFonts w:ascii="Cambria" w:hAnsi="Cambria"/>
                <w:color w:val="000000"/>
                <w:sz w:val="18"/>
                <w:szCs w:val="18"/>
                <w:lang w:eastAsia="fr-FR"/>
              </w:rPr>
              <w:t>Taux d'informatisation des fonctions</w:t>
            </w:r>
          </w:p>
        </w:tc>
        <w:tc>
          <w:tcPr>
            <w:tcW w:w="1940" w:type="dxa"/>
            <w:tcBorders>
              <w:top w:val="nil"/>
              <w:left w:val="nil"/>
              <w:bottom w:val="single" w:sz="8" w:space="0" w:color="auto"/>
              <w:right w:val="single" w:sz="8" w:space="0" w:color="auto"/>
            </w:tcBorders>
            <w:noWrap/>
            <w:vAlign w:val="center"/>
          </w:tcPr>
          <w:p w:rsidR="001F2E7F" w:rsidRPr="007F228E" w:rsidRDefault="001F2E7F" w:rsidP="003C722B">
            <w:pPr>
              <w:spacing w:after="0" w:line="240" w:lineRule="auto"/>
              <w:jc w:val="center"/>
              <w:rPr>
                <w:rFonts w:ascii="Cambria" w:hAnsi="Cambria"/>
                <w:color w:val="000000"/>
                <w:sz w:val="18"/>
                <w:szCs w:val="18"/>
                <w:lang w:eastAsia="fr-FR"/>
              </w:rPr>
            </w:pPr>
            <w:r w:rsidRPr="007F228E">
              <w:rPr>
                <w:rFonts w:ascii="Cambria" w:hAnsi="Cambria"/>
                <w:color w:val="000000"/>
                <w:sz w:val="18"/>
                <w:szCs w:val="18"/>
                <w:lang w:eastAsia="fr-FR"/>
              </w:rPr>
              <w:t>+++</w:t>
            </w:r>
          </w:p>
        </w:tc>
      </w:tr>
      <w:tr w:rsidR="001F2E7F" w:rsidRPr="003C722B" w:rsidTr="003C722B">
        <w:trPr>
          <w:trHeight w:val="320"/>
        </w:trPr>
        <w:tc>
          <w:tcPr>
            <w:tcW w:w="3240" w:type="dxa"/>
            <w:vMerge/>
            <w:tcBorders>
              <w:top w:val="single" w:sz="8" w:space="0" w:color="000000"/>
              <w:left w:val="single" w:sz="8" w:space="0" w:color="auto"/>
              <w:bottom w:val="nil"/>
              <w:right w:val="single" w:sz="8" w:space="0" w:color="auto"/>
            </w:tcBorders>
            <w:vAlign w:val="center"/>
          </w:tcPr>
          <w:p w:rsidR="001F2E7F" w:rsidRPr="007F228E" w:rsidRDefault="001F2E7F" w:rsidP="003C722B">
            <w:pPr>
              <w:spacing w:after="0" w:line="240" w:lineRule="auto"/>
              <w:rPr>
                <w:rFonts w:ascii="Cambria" w:hAnsi="Cambria"/>
                <w:b/>
                <w:bCs/>
                <w:color w:val="000000"/>
                <w:sz w:val="18"/>
                <w:szCs w:val="18"/>
                <w:lang w:eastAsia="fr-FR"/>
              </w:rPr>
            </w:pPr>
          </w:p>
        </w:tc>
        <w:tc>
          <w:tcPr>
            <w:tcW w:w="3560" w:type="dxa"/>
            <w:gridSpan w:val="2"/>
            <w:tcBorders>
              <w:top w:val="single" w:sz="8" w:space="0" w:color="auto"/>
              <w:left w:val="nil"/>
              <w:bottom w:val="single" w:sz="8" w:space="0" w:color="auto"/>
              <w:right w:val="single" w:sz="8" w:space="0" w:color="000000"/>
            </w:tcBorders>
            <w:noWrap/>
            <w:vAlign w:val="center"/>
          </w:tcPr>
          <w:p w:rsidR="001F2E7F" w:rsidRPr="007F228E" w:rsidRDefault="001F2E7F" w:rsidP="003C722B">
            <w:pPr>
              <w:spacing w:after="0" w:line="240" w:lineRule="auto"/>
              <w:jc w:val="center"/>
              <w:rPr>
                <w:rFonts w:ascii="Cambria" w:hAnsi="Cambria"/>
                <w:color w:val="000000"/>
                <w:sz w:val="18"/>
                <w:szCs w:val="18"/>
                <w:lang w:eastAsia="fr-FR"/>
              </w:rPr>
            </w:pPr>
            <w:r w:rsidRPr="007F228E">
              <w:rPr>
                <w:rFonts w:ascii="Cambria" w:hAnsi="Cambria"/>
                <w:color w:val="000000"/>
                <w:sz w:val="18"/>
                <w:szCs w:val="18"/>
                <w:lang w:eastAsia="fr-FR"/>
              </w:rPr>
              <w:t>Diffusion des applicatifs</w:t>
            </w:r>
          </w:p>
        </w:tc>
        <w:tc>
          <w:tcPr>
            <w:tcW w:w="1940" w:type="dxa"/>
            <w:tcBorders>
              <w:top w:val="nil"/>
              <w:left w:val="nil"/>
              <w:bottom w:val="single" w:sz="8" w:space="0" w:color="auto"/>
              <w:right w:val="single" w:sz="8" w:space="0" w:color="auto"/>
            </w:tcBorders>
            <w:noWrap/>
            <w:vAlign w:val="center"/>
          </w:tcPr>
          <w:p w:rsidR="001F2E7F" w:rsidRPr="007F228E" w:rsidRDefault="001F2E7F" w:rsidP="003C722B">
            <w:pPr>
              <w:spacing w:after="0" w:line="240" w:lineRule="auto"/>
              <w:jc w:val="center"/>
              <w:rPr>
                <w:rFonts w:ascii="Cambria" w:hAnsi="Cambria"/>
                <w:color w:val="000000"/>
                <w:sz w:val="18"/>
                <w:szCs w:val="18"/>
                <w:lang w:eastAsia="fr-FR"/>
              </w:rPr>
            </w:pPr>
            <w:r w:rsidRPr="007F228E">
              <w:rPr>
                <w:rFonts w:ascii="Cambria" w:hAnsi="Cambria"/>
                <w:color w:val="000000"/>
                <w:sz w:val="18"/>
                <w:szCs w:val="18"/>
                <w:lang w:eastAsia="fr-FR"/>
              </w:rPr>
              <w:t>+++</w:t>
            </w:r>
          </w:p>
        </w:tc>
      </w:tr>
      <w:tr w:rsidR="001F2E7F" w:rsidRPr="003C722B" w:rsidTr="003C722B">
        <w:trPr>
          <w:trHeight w:val="500"/>
        </w:trPr>
        <w:tc>
          <w:tcPr>
            <w:tcW w:w="3240" w:type="dxa"/>
            <w:vMerge/>
            <w:tcBorders>
              <w:top w:val="single" w:sz="8" w:space="0" w:color="000000"/>
              <w:left w:val="single" w:sz="8" w:space="0" w:color="auto"/>
              <w:bottom w:val="nil"/>
              <w:right w:val="single" w:sz="8" w:space="0" w:color="auto"/>
            </w:tcBorders>
            <w:vAlign w:val="center"/>
          </w:tcPr>
          <w:p w:rsidR="001F2E7F" w:rsidRPr="007F228E" w:rsidRDefault="001F2E7F" w:rsidP="003C722B">
            <w:pPr>
              <w:spacing w:after="0" w:line="240" w:lineRule="auto"/>
              <w:rPr>
                <w:rFonts w:ascii="Cambria" w:hAnsi="Cambria"/>
                <w:b/>
                <w:bCs/>
                <w:color w:val="000000"/>
                <w:sz w:val="18"/>
                <w:szCs w:val="18"/>
                <w:lang w:eastAsia="fr-FR"/>
              </w:rPr>
            </w:pPr>
          </w:p>
        </w:tc>
        <w:tc>
          <w:tcPr>
            <w:tcW w:w="2320" w:type="dxa"/>
            <w:vMerge w:val="restart"/>
            <w:tcBorders>
              <w:top w:val="nil"/>
              <w:left w:val="single" w:sz="8" w:space="0" w:color="auto"/>
              <w:bottom w:val="nil"/>
              <w:right w:val="single" w:sz="8" w:space="0" w:color="auto"/>
            </w:tcBorders>
            <w:noWrap/>
            <w:vAlign w:val="center"/>
          </w:tcPr>
          <w:p w:rsidR="001F2E7F" w:rsidRPr="007F228E" w:rsidRDefault="001F2E7F" w:rsidP="003C722B">
            <w:pPr>
              <w:spacing w:after="0" w:line="240" w:lineRule="auto"/>
              <w:jc w:val="center"/>
              <w:rPr>
                <w:rFonts w:ascii="Cambria" w:hAnsi="Cambria"/>
                <w:color w:val="000000"/>
                <w:sz w:val="18"/>
                <w:szCs w:val="18"/>
                <w:lang w:eastAsia="fr-FR"/>
              </w:rPr>
            </w:pPr>
            <w:r w:rsidRPr="007F228E">
              <w:rPr>
                <w:rFonts w:ascii="Cambria" w:hAnsi="Cambria"/>
                <w:color w:val="000000"/>
                <w:sz w:val="18"/>
                <w:szCs w:val="18"/>
                <w:lang w:eastAsia="fr-FR"/>
              </w:rPr>
              <w:t>Compétences informatiques</w:t>
            </w:r>
          </w:p>
        </w:tc>
        <w:tc>
          <w:tcPr>
            <w:tcW w:w="1240" w:type="dxa"/>
            <w:tcBorders>
              <w:top w:val="nil"/>
              <w:left w:val="nil"/>
              <w:bottom w:val="single" w:sz="8" w:space="0" w:color="auto"/>
              <w:right w:val="single" w:sz="8" w:space="0" w:color="auto"/>
            </w:tcBorders>
            <w:vAlign w:val="center"/>
          </w:tcPr>
          <w:p w:rsidR="001F2E7F" w:rsidRPr="007F228E" w:rsidRDefault="001F2E7F" w:rsidP="003C722B">
            <w:pPr>
              <w:spacing w:after="0" w:line="240" w:lineRule="auto"/>
              <w:jc w:val="center"/>
              <w:rPr>
                <w:rFonts w:ascii="Cambria" w:hAnsi="Cambria"/>
                <w:color w:val="000000"/>
                <w:sz w:val="18"/>
                <w:szCs w:val="18"/>
                <w:lang w:eastAsia="fr-FR"/>
              </w:rPr>
            </w:pPr>
            <w:r w:rsidRPr="007F228E">
              <w:rPr>
                <w:rFonts w:ascii="Cambria" w:hAnsi="Cambria"/>
                <w:color w:val="000000"/>
                <w:sz w:val="18"/>
                <w:szCs w:val="18"/>
                <w:lang w:eastAsia="fr-FR"/>
              </w:rPr>
              <w:t>Service informatique</w:t>
            </w:r>
          </w:p>
        </w:tc>
        <w:tc>
          <w:tcPr>
            <w:tcW w:w="1940" w:type="dxa"/>
            <w:tcBorders>
              <w:top w:val="nil"/>
              <w:left w:val="nil"/>
              <w:bottom w:val="single" w:sz="8" w:space="0" w:color="auto"/>
              <w:right w:val="single" w:sz="8" w:space="0" w:color="auto"/>
            </w:tcBorders>
            <w:noWrap/>
            <w:vAlign w:val="center"/>
          </w:tcPr>
          <w:p w:rsidR="001F2E7F" w:rsidRPr="007F228E" w:rsidRDefault="001F2E7F" w:rsidP="003C722B">
            <w:pPr>
              <w:spacing w:after="0" w:line="240" w:lineRule="auto"/>
              <w:jc w:val="center"/>
              <w:rPr>
                <w:rFonts w:ascii="Cambria" w:hAnsi="Cambria"/>
                <w:color w:val="000000"/>
                <w:sz w:val="18"/>
                <w:szCs w:val="18"/>
                <w:lang w:eastAsia="fr-FR"/>
              </w:rPr>
            </w:pPr>
            <w:r w:rsidRPr="007F228E">
              <w:rPr>
                <w:rFonts w:ascii="Cambria" w:hAnsi="Cambria"/>
                <w:color w:val="000000"/>
                <w:sz w:val="18"/>
                <w:szCs w:val="18"/>
                <w:lang w:eastAsia="fr-FR"/>
              </w:rPr>
              <w:t>++</w:t>
            </w:r>
          </w:p>
        </w:tc>
      </w:tr>
      <w:tr w:rsidR="001F2E7F" w:rsidRPr="003C722B" w:rsidTr="003C722B">
        <w:trPr>
          <w:trHeight w:val="500"/>
        </w:trPr>
        <w:tc>
          <w:tcPr>
            <w:tcW w:w="3240" w:type="dxa"/>
            <w:vMerge/>
            <w:tcBorders>
              <w:top w:val="single" w:sz="8" w:space="0" w:color="000000"/>
              <w:left w:val="single" w:sz="8" w:space="0" w:color="auto"/>
              <w:bottom w:val="nil"/>
              <w:right w:val="single" w:sz="8" w:space="0" w:color="auto"/>
            </w:tcBorders>
            <w:vAlign w:val="center"/>
          </w:tcPr>
          <w:p w:rsidR="001F2E7F" w:rsidRPr="007F228E" w:rsidRDefault="001F2E7F" w:rsidP="003C722B">
            <w:pPr>
              <w:spacing w:after="0" w:line="240" w:lineRule="auto"/>
              <w:rPr>
                <w:rFonts w:ascii="Cambria" w:hAnsi="Cambria"/>
                <w:b/>
                <w:bCs/>
                <w:color w:val="000000"/>
                <w:sz w:val="18"/>
                <w:szCs w:val="18"/>
                <w:lang w:eastAsia="fr-FR"/>
              </w:rPr>
            </w:pPr>
          </w:p>
        </w:tc>
        <w:tc>
          <w:tcPr>
            <w:tcW w:w="2320" w:type="dxa"/>
            <w:vMerge/>
            <w:tcBorders>
              <w:top w:val="nil"/>
              <w:left w:val="single" w:sz="8" w:space="0" w:color="auto"/>
              <w:bottom w:val="nil"/>
              <w:right w:val="single" w:sz="8" w:space="0" w:color="auto"/>
            </w:tcBorders>
            <w:vAlign w:val="center"/>
          </w:tcPr>
          <w:p w:rsidR="001F2E7F" w:rsidRPr="007F228E" w:rsidRDefault="001F2E7F" w:rsidP="003C722B">
            <w:pPr>
              <w:spacing w:after="0" w:line="240" w:lineRule="auto"/>
              <w:rPr>
                <w:rFonts w:ascii="Cambria" w:hAnsi="Cambria"/>
                <w:color w:val="000000"/>
                <w:sz w:val="18"/>
                <w:szCs w:val="18"/>
                <w:lang w:eastAsia="fr-FR"/>
              </w:rPr>
            </w:pPr>
          </w:p>
        </w:tc>
        <w:tc>
          <w:tcPr>
            <w:tcW w:w="1240" w:type="dxa"/>
            <w:tcBorders>
              <w:top w:val="nil"/>
              <w:left w:val="nil"/>
              <w:bottom w:val="single" w:sz="8" w:space="0" w:color="auto"/>
              <w:right w:val="single" w:sz="8" w:space="0" w:color="auto"/>
            </w:tcBorders>
            <w:vAlign w:val="center"/>
          </w:tcPr>
          <w:p w:rsidR="001F2E7F" w:rsidRPr="007F228E" w:rsidRDefault="001F2E7F" w:rsidP="003C722B">
            <w:pPr>
              <w:spacing w:after="0" w:line="240" w:lineRule="auto"/>
              <w:jc w:val="center"/>
              <w:rPr>
                <w:rFonts w:ascii="Cambria" w:hAnsi="Cambria"/>
                <w:color w:val="000000"/>
                <w:sz w:val="18"/>
                <w:szCs w:val="18"/>
                <w:lang w:eastAsia="fr-FR"/>
              </w:rPr>
            </w:pPr>
            <w:r w:rsidRPr="007F228E">
              <w:rPr>
                <w:rFonts w:ascii="Cambria" w:hAnsi="Cambria"/>
                <w:color w:val="000000"/>
                <w:sz w:val="18"/>
                <w:szCs w:val="18"/>
                <w:lang w:eastAsia="fr-FR"/>
              </w:rPr>
              <w:t>Personnel informatique</w:t>
            </w:r>
          </w:p>
        </w:tc>
        <w:tc>
          <w:tcPr>
            <w:tcW w:w="1940" w:type="dxa"/>
            <w:tcBorders>
              <w:top w:val="nil"/>
              <w:left w:val="nil"/>
              <w:bottom w:val="single" w:sz="8" w:space="0" w:color="auto"/>
              <w:right w:val="single" w:sz="8" w:space="0" w:color="auto"/>
            </w:tcBorders>
            <w:noWrap/>
            <w:vAlign w:val="center"/>
          </w:tcPr>
          <w:p w:rsidR="001F2E7F" w:rsidRPr="007F228E" w:rsidRDefault="001F2E7F" w:rsidP="003C722B">
            <w:pPr>
              <w:spacing w:after="0" w:line="240" w:lineRule="auto"/>
              <w:jc w:val="center"/>
              <w:rPr>
                <w:rFonts w:ascii="Cambria" w:hAnsi="Cambria"/>
                <w:color w:val="000000"/>
                <w:sz w:val="18"/>
                <w:szCs w:val="18"/>
                <w:lang w:eastAsia="fr-FR"/>
              </w:rPr>
            </w:pPr>
            <w:r w:rsidRPr="007F228E">
              <w:rPr>
                <w:rFonts w:ascii="Cambria" w:hAnsi="Cambria"/>
                <w:color w:val="000000"/>
                <w:sz w:val="18"/>
                <w:szCs w:val="18"/>
                <w:lang w:eastAsia="fr-FR"/>
              </w:rPr>
              <w:t>++</w:t>
            </w:r>
          </w:p>
        </w:tc>
      </w:tr>
      <w:tr w:rsidR="001F2E7F" w:rsidRPr="003C722B" w:rsidTr="003C722B">
        <w:trPr>
          <w:trHeight w:val="740"/>
        </w:trPr>
        <w:tc>
          <w:tcPr>
            <w:tcW w:w="3240" w:type="dxa"/>
            <w:vMerge/>
            <w:tcBorders>
              <w:top w:val="single" w:sz="8" w:space="0" w:color="000000"/>
              <w:left w:val="single" w:sz="8" w:space="0" w:color="auto"/>
              <w:bottom w:val="nil"/>
              <w:right w:val="single" w:sz="8" w:space="0" w:color="auto"/>
            </w:tcBorders>
            <w:vAlign w:val="center"/>
          </w:tcPr>
          <w:p w:rsidR="001F2E7F" w:rsidRPr="007F228E" w:rsidRDefault="001F2E7F" w:rsidP="003C722B">
            <w:pPr>
              <w:spacing w:after="0" w:line="240" w:lineRule="auto"/>
              <w:rPr>
                <w:rFonts w:ascii="Cambria" w:hAnsi="Cambria"/>
                <w:b/>
                <w:bCs/>
                <w:color w:val="000000"/>
                <w:sz w:val="18"/>
                <w:szCs w:val="18"/>
                <w:lang w:eastAsia="fr-FR"/>
              </w:rPr>
            </w:pPr>
          </w:p>
        </w:tc>
        <w:tc>
          <w:tcPr>
            <w:tcW w:w="2320" w:type="dxa"/>
            <w:vMerge/>
            <w:tcBorders>
              <w:top w:val="nil"/>
              <w:left w:val="single" w:sz="8" w:space="0" w:color="auto"/>
              <w:bottom w:val="nil"/>
              <w:right w:val="single" w:sz="8" w:space="0" w:color="auto"/>
            </w:tcBorders>
            <w:vAlign w:val="center"/>
          </w:tcPr>
          <w:p w:rsidR="001F2E7F" w:rsidRPr="007F228E" w:rsidRDefault="001F2E7F" w:rsidP="003C722B">
            <w:pPr>
              <w:spacing w:after="0" w:line="240" w:lineRule="auto"/>
              <w:rPr>
                <w:rFonts w:ascii="Cambria" w:hAnsi="Cambria"/>
                <w:color w:val="000000"/>
                <w:sz w:val="18"/>
                <w:szCs w:val="18"/>
                <w:lang w:eastAsia="fr-FR"/>
              </w:rPr>
            </w:pPr>
          </w:p>
        </w:tc>
        <w:tc>
          <w:tcPr>
            <w:tcW w:w="1240" w:type="dxa"/>
            <w:tcBorders>
              <w:top w:val="nil"/>
              <w:left w:val="nil"/>
              <w:bottom w:val="single" w:sz="8" w:space="0" w:color="auto"/>
              <w:right w:val="single" w:sz="8" w:space="0" w:color="auto"/>
            </w:tcBorders>
            <w:vAlign w:val="center"/>
          </w:tcPr>
          <w:p w:rsidR="001F2E7F" w:rsidRPr="007F228E" w:rsidRDefault="001F2E7F" w:rsidP="003C722B">
            <w:pPr>
              <w:spacing w:after="0" w:line="240" w:lineRule="auto"/>
              <w:jc w:val="center"/>
              <w:rPr>
                <w:rFonts w:ascii="Cambria" w:hAnsi="Cambria"/>
                <w:color w:val="000000"/>
                <w:sz w:val="18"/>
                <w:szCs w:val="18"/>
                <w:lang w:eastAsia="fr-FR"/>
              </w:rPr>
            </w:pPr>
            <w:r w:rsidRPr="007F228E">
              <w:rPr>
                <w:rFonts w:ascii="Cambria" w:hAnsi="Cambria"/>
                <w:color w:val="000000"/>
                <w:sz w:val="18"/>
                <w:szCs w:val="18"/>
                <w:lang w:eastAsia="fr-FR"/>
              </w:rPr>
              <w:t>Pas compétence informatique</w:t>
            </w:r>
          </w:p>
        </w:tc>
        <w:tc>
          <w:tcPr>
            <w:tcW w:w="1940" w:type="dxa"/>
            <w:tcBorders>
              <w:top w:val="nil"/>
              <w:left w:val="nil"/>
              <w:bottom w:val="single" w:sz="8" w:space="0" w:color="auto"/>
              <w:right w:val="single" w:sz="8" w:space="0" w:color="auto"/>
            </w:tcBorders>
            <w:noWrap/>
            <w:vAlign w:val="center"/>
          </w:tcPr>
          <w:p w:rsidR="001F2E7F" w:rsidRPr="007F228E" w:rsidRDefault="001F2E7F" w:rsidP="003C722B">
            <w:pPr>
              <w:spacing w:after="0" w:line="240" w:lineRule="auto"/>
              <w:jc w:val="center"/>
              <w:rPr>
                <w:rFonts w:ascii="Cambria" w:hAnsi="Cambria"/>
                <w:color w:val="000000"/>
                <w:sz w:val="18"/>
                <w:szCs w:val="18"/>
                <w:lang w:eastAsia="fr-FR"/>
              </w:rPr>
            </w:pPr>
            <w:r w:rsidRPr="007F228E">
              <w:rPr>
                <w:rFonts w:ascii="Cambria" w:hAnsi="Cambria"/>
                <w:color w:val="000000"/>
                <w:sz w:val="18"/>
                <w:szCs w:val="18"/>
                <w:lang w:eastAsia="fr-FR"/>
              </w:rPr>
              <w:t>Réf</w:t>
            </w:r>
          </w:p>
        </w:tc>
      </w:tr>
      <w:tr w:rsidR="001F2E7F" w:rsidRPr="003C722B" w:rsidTr="003C722B">
        <w:trPr>
          <w:trHeight w:val="320"/>
        </w:trPr>
        <w:tc>
          <w:tcPr>
            <w:tcW w:w="3240" w:type="dxa"/>
            <w:vMerge w:val="restart"/>
            <w:tcBorders>
              <w:top w:val="single" w:sz="8" w:space="0" w:color="auto"/>
              <w:left w:val="single" w:sz="8" w:space="0" w:color="auto"/>
              <w:bottom w:val="single" w:sz="8" w:space="0" w:color="000000"/>
              <w:right w:val="single" w:sz="8" w:space="0" w:color="auto"/>
            </w:tcBorders>
            <w:vAlign w:val="center"/>
          </w:tcPr>
          <w:p w:rsidR="001F2E7F" w:rsidRPr="007F228E" w:rsidRDefault="001F2E7F" w:rsidP="003C722B">
            <w:pPr>
              <w:spacing w:after="0" w:line="240" w:lineRule="auto"/>
              <w:jc w:val="center"/>
              <w:rPr>
                <w:rFonts w:ascii="Cambria" w:hAnsi="Cambria"/>
                <w:b/>
                <w:bCs/>
                <w:color w:val="000000"/>
                <w:sz w:val="18"/>
                <w:szCs w:val="18"/>
                <w:lang w:eastAsia="fr-FR"/>
              </w:rPr>
            </w:pPr>
            <w:r w:rsidRPr="007F228E">
              <w:rPr>
                <w:rFonts w:ascii="Cambria" w:hAnsi="Cambria"/>
                <w:b/>
                <w:bCs/>
                <w:color w:val="000000"/>
                <w:sz w:val="18"/>
                <w:szCs w:val="18"/>
                <w:lang w:eastAsia="fr-FR"/>
              </w:rPr>
              <w:t>Priorités stratégiques de la PME</w:t>
            </w:r>
          </w:p>
        </w:tc>
        <w:tc>
          <w:tcPr>
            <w:tcW w:w="3560" w:type="dxa"/>
            <w:gridSpan w:val="2"/>
            <w:tcBorders>
              <w:top w:val="single" w:sz="8" w:space="0" w:color="auto"/>
              <w:left w:val="nil"/>
              <w:bottom w:val="single" w:sz="8" w:space="0" w:color="auto"/>
              <w:right w:val="single" w:sz="8" w:space="0" w:color="000000"/>
            </w:tcBorders>
            <w:noWrap/>
            <w:vAlign w:val="center"/>
          </w:tcPr>
          <w:p w:rsidR="001F2E7F" w:rsidRPr="007F228E" w:rsidRDefault="001F2E7F" w:rsidP="003C722B">
            <w:pPr>
              <w:spacing w:after="0" w:line="240" w:lineRule="auto"/>
              <w:jc w:val="center"/>
              <w:rPr>
                <w:rFonts w:ascii="Cambria" w:hAnsi="Cambria"/>
                <w:color w:val="000000"/>
                <w:sz w:val="18"/>
                <w:szCs w:val="18"/>
                <w:lang w:eastAsia="fr-FR"/>
              </w:rPr>
            </w:pPr>
            <w:r w:rsidRPr="007F228E">
              <w:rPr>
                <w:rFonts w:ascii="Cambria" w:hAnsi="Cambria"/>
                <w:color w:val="000000"/>
                <w:sz w:val="18"/>
                <w:szCs w:val="18"/>
                <w:lang w:eastAsia="fr-FR"/>
              </w:rPr>
              <w:t>Variétés et personnalisation</w:t>
            </w:r>
          </w:p>
        </w:tc>
        <w:tc>
          <w:tcPr>
            <w:tcW w:w="1940" w:type="dxa"/>
            <w:tcBorders>
              <w:top w:val="nil"/>
              <w:left w:val="nil"/>
              <w:bottom w:val="single" w:sz="8" w:space="0" w:color="auto"/>
              <w:right w:val="single" w:sz="8" w:space="0" w:color="auto"/>
            </w:tcBorders>
            <w:noWrap/>
            <w:vAlign w:val="center"/>
          </w:tcPr>
          <w:p w:rsidR="001F2E7F" w:rsidRPr="007F228E" w:rsidRDefault="001F2E7F" w:rsidP="003C722B">
            <w:pPr>
              <w:spacing w:after="0" w:line="240" w:lineRule="auto"/>
              <w:jc w:val="center"/>
              <w:rPr>
                <w:rFonts w:ascii="Cambria" w:hAnsi="Cambria"/>
                <w:color w:val="000000"/>
                <w:sz w:val="18"/>
                <w:szCs w:val="18"/>
                <w:lang w:eastAsia="fr-FR"/>
              </w:rPr>
            </w:pPr>
            <w:r w:rsidRPr="007F228E">
              <w:rPr>
                <w:rFonts w:ascii="Cambria" w:hAnsi="Cambria"/>
                <w:color w:val="000000"/>
                <w:sz w:val="18"/>
                <w:szCs w:val="18"/>
                <w:lang w:eastAsia="fr-FR"/>
              </w:rPr>
              <w:t>?</w:t>
            </w:r>
          </w:p>
        </w:tc>
      </w:tr>
      <w:tr w:rsidR="001F2E7F" w:rsidRPr="003C722B" w:rsidTr="003C722B">
        <w:trPr>
          <w:trHeight w:val="320"/>
        </w:trPr>
        <w:tc>
          <w:tcPr>
            <w:tcW w:w="3240" w:type="dxa"/>
            <w:vMerge/>
            <w:tcBorders>
              <w:top w:val="single" w:sz="8" w:space="0" w:color="auto"/>
              <w:left w:val="single" w:sz="8" w:space="0" w:color="auto"/>
              <w:bottom w:val="single" w:sz="8" w:space="0" w:color="000000"/>
              <w:right w:val="single" w:sz="8" w:space="0" w:color="auto"/>
            </w:tcBorders>
            <w:vAlign w:val="center"/>
          </w:tcPr>
          <w:p w:rsidR="001F2E7F" w:rsidRPr="007F228E" w:rsidRDefault="001F2E7F" w:rsidP="003C722B">
            <w:pPr>
              <w:spacing w:after="0" w:line="240" w:lineRule="auto"/>
              <w:rPr>
                <w:rFonts w:ascii="Cambria" w:hAnsi="Cambria"/>
                <w:b/>
                <w:bCs/>
                <w:color w:val="000000"/>
                <w:sz w:val="18"/>
                <w:szCs w:val="18"/>
                <w:lang w:eastAsia="fr-FR"/>
              </w:rPr>
            </w:pPr>
          </w:p>
        </w:tc>
        <w:tc>
          <w:tcPr>
            <w:tcW w:w="3560" w:type="dxa"/>
            <w:gridSpan w:val="2"/>
            <w:tcBorders>
              <w:top w:val="single" w:sz="8" w:space="0" w:color="auto"/>
              <w:left w:val="nil"/>
              <w:bottom w:val="single" w:sz="8" w:space="0" w:color="auto"/>
              <w:right w:val="single" w:sz="8" w:space="0" w:color="000000"/>
            </w:tcBorders>
            <w:noWrap/>
            <w:vAlign w:val="center"/>
          </w:tcPr>
          <w:p w:rsidR="001F2E7F" w:rsidRPr="007F228E" w:rsidRDefault="001F2E7F" w:rsidP="003C722B">
            <w:pPr>
              <w:spacing w:after="0" w:line="240" w:lineRule="auto"/>
              <w:jc w:val="center"/>
              <w:rPr>
                <w:rFonts w:ascii="Cambria" w:hAnsi="Cambria"/>
                <w:color w:val="000000"/>
                <w:sz w:val="18"/>
                <w:szCs w:val="18"/>
                <w:lang w:eastAsia="fr-FR"/>
              </w:rPr>
            </w:pPr>
            <w:r w:rsidRPr="007F228E">
              <w:rPr>
                <w:rFonts w:ascii="Cambria" w:hAnsi="Cambria"/>
                <w:color w:val="000000"/>
                <w:sz w:val="18"/>
                <w:szCs w:val="18"/>
                <w:lang w:eastAsia="fr-FR"/>
              </w:rPr>
              <w:t>Nouveauté</w:t>
            </w:r>
          </w:p>
        </w:tc>
        <w:tc>
          <w:tcPr>
            <w:tcW w:w="1940" w:type="dxa"/>
            <w:tcBorders>
              <w:top w:val="nil"/>
              <w:left w:val="nil"/>
              <w:bottom w:val="single" w:sz="8" w:space="0" w:color="auto"/>
              <w:right w:val="single" w:sz="8" w:space="0" w:color="auto"/>
            </w:tcBorders>
            <w:noWrap/>
            <w:vAlign w:val="center"/>
          </w:tcPr>
          <w:p w:rsidR="001F2E7F" w:rsidRPr="007F228E" w:rsidRDefault="001F2E7F" w:rsidP="003C722B">
            <w:pPr>
              <w:spacing w:after="0" w:line="240" w:lineRule="auto"/>
              <w:jc w:val="center"/>
              <w:rPr>
                <w:rFonts w:ascii="Cambria" w:hAnsi="Cambria"/>
                <w:color w:val="000000"/>
                <w:sz w:val="18"/>
                <w:szCs w:val="18"/>
                <w:lang w:eastAsia="fr-FR"/>
              </w:rPr>
            </w:pPr>
            <w:r w:rsidRPr="007F228E">
              <w:rPr>
                <w:rFonts w:ascii="Cambria" w:hAnsi="Cambria"/>
                <w:color w:val="000000"/>
                <w:sz w:val="18"/>
                <w:szCs w:val="18"/>
                <w:lang w:eastAsia="fr-FR"/>
              </w:rPr>
              <w:t>?</w:t>
            </w:r>
          </w:p>
        </w:tc>
      </w:tr>
      <w:tr w:rsidR="001F2E7F" w:rsidRPr="003C722B" w:rsidTr="003C722B">
        <w:trPr>
          <w:trHeight w:val="320"/>
        </w:trPr>
        <w:tc>
          <w:tcPr>
            <w:tcW w:w="3240" w:type="dxa"/>
            <w:vMerge/>
            <w:tcBorders>
              <w:top w:val="single" w:sz="8" w:space="0" w:color="auto"/>
              <w:left w:val="single" w:sz="8" w:space="0" w:color="auto"/>
              <w:bottom w:val="single" w:sz="8" w:space="0" w:color="000000"/>
              <w:right w:val="single" w:sz="8" w:space="0" w:color="auto"/>
            </w:tcBorders>
            <w:vAlign w:val="center"/>
          </w:tcPr>
          <w:p w:rsidR="001F2E7F" w:rsidRPr="007F228E" w:rsidRDefault="001F2E7F" w:rsidP="003C722B">
            <w:pPr>
              <w:spacing w:after="0" w:line="240" w:lineRule="auto"/>
              <w:rPr>
                <w:rFonts w:ascii="Cambria" w:hAnsi="Cambria"/>
                <w:b/>
                <w:bCs/>
                <w:color w:val="000000"/>
                <w:sz w:val="18"/>
                <w:szCs w:val="18"/>
                <w:lang w:eastAsia="fr-FR"/>
              </w:rPr>
            </w:pPr>
          </w:p>
        </w:tc>
        <w:tc>
          <w:tcPr>
            <w:tcW w:w="3560" w:type="dxa"/>
            <w:gridSpan w:val="2"/>
            <w:tcBorders>
              <w:top w:val="single" w:sz="8" w:space="0" w:color="auto"/>
              <w:left w:val="nil"/>
              <w:bottom w:val="single" w:sz="8" w:space="0" w:color="auto"/>
              <w:right w:val="single" w:sz="8" w:space="0" w:color="000000"/>
            </w:tcBorders>
            <w:noWrap/>
            <w:vAlign w:val="center"/>
          </w:tcPr>
          <w:p w:rsidR="001F2E7F" w:rsidRPr="007F228E" w:rsidRDefault="001F2E7F" w:rsidP="003C722B">
            <w:pPr>
              <w:spacing w:after="0" w:line="240" w:lineRule="auto"/>
              <w:jc w:val="center"/>
              <w:rPr>
                <w:rFonts w:ascii="Cambria" w:hAnsi="Cambria"/>
                <w:color w:val="000000"/>
                <w:sz w:val="18"/>
                <w:szCs w:val="18"/>
                <w:lang w:eastAsia="fr-FR"/>
              </w:rPr>
            </w:pPr>
            <w:r w:rsidRPr="007F228E">
              <w:rPr>
                <w:rFonts w:ascii="Cambria" w:hAnsi="Cambria"/>
                <w:color w:val="000000"/>
                <w:sz w:val="18"/>
                <w:szCs w:val="18"/>
                <w:lang w:eastAsia="fr-FR"/>
              </w:rPr>
              <w:t>Qualité Technique</w:t>
            </w:r>
          </w:p>
        </w:tc>
        <w:tc>
          <w:tcPr>
            <w:tcW w:w="1940" w:type="dxa"/>
            <w:tcBorders>
              <w:top w:val="nil"/>
              <w:left w:val="nil"/>
              <w:bottom w:val="single" w:sz="8" w:space="0" w:color="auto"/>
              <w:right w:val="single" w:sz="8" w:space="0" w:color="auto"/>
            </w:tcBorders>
            <w:noWrap/>
            <w:vAlign w:val="center"/>
          </w:tcPr>
          <w:p w:rsidR="001F2E7F" w:rsidRPr="007F228E" w:rsidRDefault="001F2E7F" w:rsidP="003C722B">
            <w:pPr>
              <w:spacing w:after="0" w:line="240" w:lineRule="auto"/>
              <w:jc w:val="center"/>
              <w:rPr>
                <w:rFonts w:ascii="Cambria" w:hAnsi="Cambria"/>
                <w:color w:val="000000"/>
                <w:sz w:val="18"/>
                <w:szCs w:val="18"/>
                <w:lang w:eastAsia="fr-FR"/>
              </w:rPr>
            </w:pPr>
            <w:r w:rsidRPr="007F228E">
              <w:rPr>
                <w:rFonts w:ascii="Cambria" w:hAnsi="Cambria"/>
                <w:color w:val="000000"/>
                <w:sz w:val="18"/>
                <w:szCs w:val="18"/>
                <w:lang w:eastAsia="fr-FR"/>
              </w:rPr>
              <w:t>?</w:t>
            </w:r>
          </w:p>
        </w:tc>
      </w:tr>
      <w:tr w:rsidR="001F2E7F" w:rsidRPr="003C722B" w:rsidTr="003C722B">
        <w:trPr>
          <w:trHeight w:val="320"/>
        </w:trPr>
        <w:tc>
          <w:tcPr>
            <w:tcW w:w="3240" w:type="dxa"/>
            <w:vMerge/>
            <w:tcBorders>
              <w:top w:val="single" w:sz="8" w:space="0" w:color="auto"/>
              <w:left w:val="single" w:sz="8" w:space="0" w:color="auto"/>
              <w:bottom w:val="single" w:sz="8" w:space="0" w:color="000000"/>
              <w:right w:val="single" w:sz="8" w:space="0" w:color="auto"/>
            </w:tcBorders>
            <w:vAlign w:val="center"/>
          </w:tcPr>
          <w:p w:rsidR="001F2E7F" w:rsidRPr="007F228E" w:rsidRDefault="001F2E7F" w:rsidP="003C722B">
            <w:pPr>
              <w:spacing w:after="0" w:line="240" w:lineRule="auto"/>
              <w:rPr>
                <w:rFonts w:ascii="Cambria" w:hAnsi="Cambria"/>
                <w:b/>
                <w:bCs/>
                <w:color w:val="000000"/>
                <w:sz w:val="18"/>
                <w:szCs w:val="18"/>
                <w:lang w:eastAsia="fr-FR"/>
              </w:rPr>
            </w:pPr>
          </w:p>
        </w:tc>
        <w:tc>
          <w:tcPr>
            <w:tcW w:w="3560" w:type="dxa"/>
            <w:gridSpan w:val="2"/>
            <w:tcBorders>
              <w:top w:val="single" w:sz="8" w:space="0" w:color="auto"/>
              <w:left w:val="nil"/>
              <w:bottom w:val="single" w:sz="8" w:space="0" w:color="auto"/>
              <w:right w:val="single" w:sz="8" w:space="0" w:color="000000"/>
            </w:tcBorders>
            <w:noWrap/>
            <w:vAlign w:val="center"/>
          </w:tcPr>
          <w:p w:rsidR="001F2E7F" w:rsidRPr="007F228E" w:rsidRDefault="001F2E7F" w:rsidP="003C722B">
            <w:pPr>
              <w:spacing w:after="0" w:line="240" w:lineRule="auto"/>
              <w:jc w:val="center"/>
              <w:rPr>
                <w:rFonts w:ascii="Cambria" w:hAnsi="Cambria"/>
                <w:color w:val="000000"/>
                <w:sz w:val="18"/>
                <w:szCs w:val="18"/>
                <w:lang w:eastAsia="fr-FR"/>
              </w:rPr>
            </w:pPr>
            <w:r w:rsidRPr="007F228E">
              <w:rPr>
                <w:rFonts w:ascii="Cambria" w:hAnsi="Cambria"/>
                <w:color w:val="000000"/>
                <w:sz w:val="18"/>
                <w:szCs w:val="18"/>
                <w:lang w:eastAsia="fr-FR"/>
              </w:rPr>
              <w:t>Réactivité</w:t>
            </w:r>
          </w:p>
        </w:tc>
        <w:tc>
          <w:tcPr>
            <w:tcW w:w="1940" w:type="dxa"/>
            <w:tcBorders>
              <w:top w:val="nil"/>
              <w:left w:val="nil"/>
              <w:bottom w:val="single" w:sz="8" w:space="0" w:color="auto"/>
              <w:right w:val="single" w:sz="8" w:space="0" w:color="auto"/>
            </w:tcBorders>
            <w:noWrap/>
            <w:vAlign w:val="center"/>
          </w:tcPr>
          <w:p w:rsidR="001F2E7F" w:rsidRPr="007F228E" w:rsidRDefault="001F2E7F" w:rsidP="003C722B">
            <w:pPr>
              <w:spacing w:after="0" w:line="240" w:lineRule="auto"/>
              <w:jc w:val="center"/>
              <w:rPr>
                <w:rFonts w:ascii="Cambria" w:hAnsi="Cambria"/>
                <w:color w:val="000000"/>
                <w:sz w:val="18"/>
                <w:szCs w:val="18"/>
                <w:lang w:eastAsia="fr-FR"/>
              </w:rPr>
            </w:pPr>
            <w:r w:rsidRPr="007F228E">
              <w:rPr>
                <w:rFonts w:ascii="Cambria" w:hAnsi="Cambria"/>
                <w:color w:val="000000"/>
                <w:sz w:val="18"/>
                <w:szCs w:val="18"/>
                <w:lang w:eastAsia="fr-FR"/>
              </w:rPr>
              <w:t>+++</w:t>
            </w:r>
          </w:p>
        </w:tc>
      </w:tr>
      <w:tr w:rsidR="001F2E7F" w:rsidRPr="003C722B" w:rsidTr="003C722B">
        <w:trPr>
          <w:trHeight w:val="320"/>
        </w:trPr>
        <w:tc>
          <w:tcPr>
            <w:tcW w:w="3240" w:type="dxa"/>
            <w:vMerge/>
            <w:tcBorders>
              <w:top w:val="single" w:sz="8" w:space="0" w:color="auto"/>
              <w:left w:val="single" w:sz="8" w:space="0" w:color="auto"/>
              <w:bottom w:val="single" w:sz="8" w:space="0" w:color="000000"/>
              <w:right w:val="single" w:sz="8" w:space="0" w:color="auto"/>
            </w:tcBorders>
            <w:vAlign w:val="center"/>
          </w:tcPr>
          <w:p w:rsidR="001F2E7F" w:rsidRPr="007F228E" w:rsidRDefault="001F2E7F" w:rsidP="003C722B">
            <w:pPr>
              <w:spacing w:after="0" w:line="240" w:lineRule="auto"/>
              <w:rPr>
                <w:rFonts w:ascii="Cambria" w:hAnsi="Cambria"/>
                <w:b/>
                <w:bCs/>
                <w:color w:val="000000"/>
                <w:sz w:val="18"/>
                <w:szCs w:val="18"/>
                <w:lang w:eastAsia="fr-FR"/>
              </w:rPr>
            </w:pPr>
          </w:p>
        </w:tc>
        <w:tc>
          <w:tcPr>
            <w:tcW w:w="3560" w:type="dxa"/>
            <w:gridSpan w:val="2"/>
            <w:tcBorders>
              <w:top w:val="single" w:sz="8" w:space="0" w:color="auto"/>
              <w:left w:val="nil"/>
              <w:bottom w:val="single" w:sz="8" w:space="0" w:color="auto"/>
              <w:right w:val="single" w:sz="8" w:space="0" w:color="000000"/>
            </w:tcBorders>
            <w:noWrap/>
            <w:vAlign w:val="center"/>
          </w:tcPr>
          <w:p w:rsidR="001F2E7F" w:rsidRPr="007F228E" w:rsidRDefault="001F2E7F" w:rsidP="003C722B">
            <w:pPr>
              <w:spacing w:after="0" w:line="240" w:lineRule="auto"/>
              <w:jc w:val="center"/>
              <w:rPr>
                <w:rFonts w:ascii="Cambria" w:hAnsi="Cambria"/>
                <w:color w:val="000000"/>
                <w:sz w:val="18"/>
                <w:szCs w:val="18"/>
                <w:lang w:eastAsia="fr-FR"/>
              </w:rPr>
            </w:pPr>
            <w:r w:rsidRPr="007F228E">
              <w:rPr>
                <w:rFonts w:ascii="Cambria" w:hAnsi="Cambria"/>
                <w:color w:val="000000"/>
                <w:sz w:val="18"/>
                <w:szCs w:val="18"/>
                <w:lang w:eastAsia="fr-FR"/>
              </w:rPr>
              <w:t>Compétitivité prix</w:t>
            </w:r>
          </w:p>
        </w:tc>
        <w:tc>
          <w:tcPr>
            <w:tcW w:w="1940" w:type="dxa"/>
            <w:tcBorders>
              <w:top w:val="nil"/>
              <w:left w:val="nil"/>
              <w:bottom w:val="single" w:sz="8" w:space="0" w:color="auto"/>
              <w:right w:val="single" w:sz="8" w:space="0" w:color="auto"/>
            </w:tcBorders>
            <w:noWrap/>
            <w:vAlign w:val="center"/>
          </w:tcPr>
          <w:p w:rsidR="001F2E7F" w:rsidRPr="007F228E" w:rsidRDefault="001F2E7F" w:rsidP="003C722B">
            <w:pPr>
              <w:spacing w:after="0" w:line="240" w:lineRule="auto"/>
              <w:jc w:val="center"/>
              <w:rPr>
                <w:rFonts w:ascii="Cambria" w:hAnsi="Cambria"/>
                <w:color w:val="000000"/>
                <w:sz w:val="18"/>
                <w:szCs w:val="18"/>
                <w:lang w:eastAsia="fr-FR"/>
              </w:rPr>
            </w:pPr>
            <w:r w:rsidRPr="007F228E">
              <w:rPr>
                <w:rFonts w:ascii="Cambria" w:hAnsi="Cambria"/>
                <w:color w:val="000000"/>
                <w:sz w:val="18"/>
                <w:szCs w:val="18"/>
                <w:lang w:eastAsia="fr-FR"/>
              </w:rPr>
              <w:t>?</w:t>
            </w:r>
          </w:p>
        </w:tc>
      </w:tr>
    </w:tbl>
    <w:p w:rsidR="001F2E7F" w:rsidRDefault="001F2E7F" w:rsidP="00500AEE">
      <w:pPr>
        <w:spacing w:after="0"/>
        <w:jc w:val="both"/>
        <w:rPr>
          <w:rFonts w:ascii="Cambria" w:hAnsi="Cambria"/>
          <w:sz w:val="24"/>
        </w:rPr>
      </w:pPr>
    </w:p>
    <w:p w:rsidR="001F2E7F" w:rsidRDefault="001F2E7F" w:rsidP="00500AEE">
      <w:pPr>
        <w:spacing w:after="0"/>
        <w:jc w:val="both"/>
        <w:rPr>
          <w:rFonts w:ascii="Cambria" w:hAnsi="Cambria"/>
          <w:sz w:val="24"/>
        </w:rPr>
      </w:pPr>
    </w:p>
    <w:p w:rsidR="001F2E7F" w:rsidRPr="002E02A6" w:rsidRDefault="001F2E7F" w:rsidP="00500AEE">
      <w:pPr>
        <w:spacing w:after="0"/>
        <w:jc w:val="both"/>
        <w:rPr>
          <w:rFonts w:ascii="Cambria" w:hAnsi="Cambria"/>
          <w:b/>
          <w:sz w:val="24"/>
        </w:rPr>
      </w:pPr>
      <w:r w:rsidRPr="002E02A6">
        <w:rPr>
          <w:rFonts w:ascii="Cambria" w:hAnsi="Cambria"/>
          <w:b/>
          <w:sz w:val="24"/>
        </w:rPr>
        <w:t xml:space="preserve">5. </w:t>
      </w:r>
      <w:r>
        <w:rPr>
          <w:rFonts w:ascii="Cambria" w:hAnsi="Cambria"/>
          <w:b/>
          <w:sz w:val="24"/>
        </w:rPr>
        <w:t>E</w:t>
      </w:r>
      <w:r w:rsidRPr="002E02A6">
        <w:rPr>
          <w:rFonts w:ascii="Cambria" w:hAnsi="Cambria"/>
          <w:b/>
          <w:sz w:val="24"/>
        </w:rPr>
        <w:t>léments bibliographiques.</w:t>
      </w:r>
    </w:p>
    <w:p w:rsidR="001F2E7F" w:rsidRDefault="001F2E7F" w:rsidP="00500AEE">
      <w:pPr>
        <w:spacing w:after="0"/>
        <w:jc w:val="both"/>
        <w:rPr>
          <w:rFonts w:ascii="Cambria" w:hAnsi="Cambria"/>
          <w:sz w:val="24"/>
        </w:rPr>
      </w:pPr>
    </w:p>
    <w:p w:rsidR="001F2E7F" w:rsidRPr="00B371EF" w:rsidRDefault="001F2E7F" w:rsidP="007D57C6">
      <w:pPr>
        <w:ind w:left="284" w:hanging="284"/>
        <w:jc w:val="both"/>
        <w:rPr>
          <w:rFonts w:ascii="Times New Roman" w:hAnsi="Times New Roman" w:cs="Times"/>
          <w:color w:val="000000"/>
          <w:lang w:val="en-GB"/>
        </w:rPr>
      </w:pPr>
      <w:r w:rsidRPr="00B371EF">
        <w:rPr>
          <w:rFonts w:ascii="Times New Roman" w:hAnsi="Times New Roman" w:cs="Times"/>
          <w:color w:val="000000"/>
          <w:lang w:val="en-GB"/>
        </w:rPr>
        <w:t xml:space="preserve">Buonanno G., Faverio P., Pigni F., Ravarini A., Sciuto D. &amp; Tagliavini M. (2005), « Factors affecting ERP system adoption. A comparative analysis between SMEs and large companies » </w:t>
      </w:r>
      <w:r w:rsidRPr="00B371EF">
        <w:rPr>
          <w:rFonts w:ascii="Times New Roman" w:hAnsi="Times New Roman" w:cs="Times"/>
          <w:iCs/>
          <w:color w:val="000000"/>
          <w:lang w:val="en-GB"/>
        </w:rPr>
        <w:t>Journal of Enterprise Information Management</w:t>
      </w:r>
      <w:r w:rsidRPr="00B371EF">
        <w:rPr>
          <w:rFonts w:ascii="Times New Roman" w:hAnsi="Times New Roman" w:cs="Times"/>
          <w:color w:val="000000"/>
          <w:lang w:val="en-GB"/>
        </w:rPr>
        <w:t>, 18(4), pp. 384-426.</w:t>
      </w:r>
    </w:p>
    <w:p w:rsidR="001F2E7F" w:rsidRPr="0000790A" w:rsidRDefault="001F2E7F" w:rsidP="007D57C6">
      <w:pPr>
        <w:jc w:val="both"/>
        <w:rPr>
          <w:rFonts w:ascii="Times New Roman" w:hAnsi="Times New Roman"/>
          <w:lang w:val="en-US"/>
        </w:rPr>
      </w:pPr>
      <w:r w:rsidRPr="0000790A">
        <w:rPr>
          <w:rFonts w:ascii="Times New Roman" w:hAnsi="Times New Roman"/>
          <w:lang w:val="en-US"/>
        </w:rPr>
        <w:t xml:space="preserve">Cramer, J. S., </w:t>
      </w:r>
      <w:r>
        <w:rPr>
          <w:rFonts w:ascii="Times New Roman" w:hAnsi="Times New Roman"/>
          <w:lang w:val="en-US"/>
        </w:rPr>
        <w:t>(</w:t>
      </w:r>
      <w:r w:rsidRPr="0000790A">
        <w:rPr>
          <w:rFonts w:ascii="Times New Roman" w:hAnsi="Times New Roman"/>
          <w:lang w:val="en-US"/>
        </w:rPr>
        <w:t>1991</w:t>
      </w:r>
      <w:r>
        <w:rPr>
          <w:rFonts w:ascii="Times New Roman" w:hAnsi="Times New Roman"/>
          <w:lang w:val="en-US"/>
        </w:rPr>
        <w:t>)</w:t>
      </w:r>
      <w:r w:rsidRPr="0000790A">
        <w:rPr>
          <w:rFonts w:ascii="Times New Roman" w:hAnsi="Times New Roman"/>
          <w:lang w:val="en-US"/>
        </w:rPr>
        <w:t>. The Logit Model for Economists. London and New York, Edward Arnold.</w:t>
      </w:r>
    </w:p>
    <w:p w:rsidR="001F2E7F" w:rsidRDefault="001F2E7F" w:rsidP="007D57C6">
      <w:pPr>
        <w:ind w:left="284" w:hanging="284"/>
        <w:jc w:val="both"/>
        <w:rPr>
          <w:rFonts w:ascii="Times New Roman" w:hAnsi="Times New Roman"/>
          <w:lang w:val="en-US"/>
        </w:rPr>
      </w:pPr>
      <w:r w:rsidRPr="0000790A">
        <w:rPr>
          <w:rFonts w:ascii="Times New Roman" w:hAnsi="Times New Roman"/>
          <w:lang w:val="en-US"/>
        </w:rPr>
        <w:t xml:space="preserve">Haddara et Zach (2011) “ERP Systems in SMEs: A Literature Review”, Proceedings of the 44th Hawaii International Conference on System Sciences. </w:t>
      </w:r>
    </w:p>
    <w:p w:rsidR="001F2E7F" w:rsidRPr="0000790A" w:rsidRDefault="001F2E7F" w:rsidP="007D57C6">
      <w:pPr>
        <w:ind w:left="284" w:hanging="284"/>
        <w:jc w:val="both"/>
        <w:rPr>
          <w:rFonts w:ascii="Times New Roman" w:hAnsi="Times New Roman"/>
          <w:lang w:val="en-US"/>
        </w:rPr>
      </w:pPr>
      <w:r>
        <w:rPr>
          <w:rFonts w:ascii="Times New Roman" w:hAnsi="Times New Roman"/>
          <w:lang w:val="en-US"/>
        </w:rPr>
        <w:t xml:space="preserve">Kalling, T. (2003), </w:t>
      </w:r>
      <w:r w:rsidRPr="0000790A">
        <w:rPr>
          <w:rFonts w:ascii="Times New Roman" w:hAnsi="Times New Roman"/>
          <w:lang w:val="en-US"/>
        </w:rPr>
        <w:t xml:space="preserve">“ERP Systems and the Strategic Management Processes that Lead to Competitive Advantage” Information Resources </w:t>
      </w:r>
      <w:r>
        <w:rPr>
          <w:rFonts w:ascii="Times New Roman" w:hAnsi="Times New Roman"/>
          <w:lang w:val="en-US"/>
        </w:rPr>
        <w:t>Management Journal,</w:t>
      </w:r>
      <w:r w:rsidRPr="0000790A">
        <w:rPr>
          <w:rFonts w:ascii="Times New Roman" w:hAnsi="Times New Roman"/>
          <w:lang w:val="en-US"/>
        </w:rPr>
        <w:t xml:space="preserve"> Vol. 16 Issue 4, p46, 22p</w:t>
      </w:r>
    </w:p>
    <w:p w:rsidR="001F2E7F" w:rsidRDefault="001F2E7F" w:rsidP="007D57C6">
      <w:pPr>
        <w:spacing w:after="0"/>
        <w:ind w:left="284" w:hanging="284"/>
        <w:jc w:val="both"/>
        <w:rPr>
          <w:rFonts w:ascii="Times New Roman" w:hAnsi="Times New Roman"/>
        </w:rPr>
      </w:pPr>
      <w:r w:rsidRPr="0000790A">
        <w:rPr>
          <w:rFonts w:ascii="Times New Roman" w:hAnsi="Times New Roman"/>
        </w:rPr>
        <w:t xml:space="preserve">Kocoglu Y., Moatty F., </w:t>
      </w:r>
      <w:r>
        <w:rPr>
          <w:rFonts w:ascii="Times New Roman" w:hAnsi="Times New Roman"/>
        </w:rPr>
        <w:t xml:space="preserve">(2010) </w:t>
      </w:r>
      <w:r w:rsidRPr="0000790A">
        <w:rPr>
          <w:rFonts w:ascii="Times New Roman" w:hAnsi="Times New Roman"/>
        </w:rPr>
        <w:t>« Diffusion et combinaison des TIC au sein des entreprises en 2006 : les réseaux, la gestion des données et l'intégration par les E</w:t>
      </w:r>
      <w:r>
        <w:rPr>
          <w:rFonts w:ascii="Times New Roman" w:hAnsi="Times New Roman"/>
        </w:rPr>
        <w:t>RP », Réseaux, n° 162</w:t>
      </w:r>
      <w:r w:rsidRPr="0000790A">
        <w:rPr>
          <w:rFonts w:ascii="Times New Roman" w:hAnsi="Times New Roman"/>
        </w:rPr>
        <w:t>.</w:t>
      </w:r>
    </w:p>
    <w:p w:rsidR="001F2E7F" w:rsidRDefault="001F2E7F" w:rsidP="007D57C6">
      <w:pPr>
        <w:spacing w:after="0"/>
        <w:ind w:left="284" w:hanging="284"/>
        <w:jc w:val="both"/>
        <w:rPr>
          <w:rFonts w:ascii="Times New Roman" w:hAnsi="Times New Roman"/>
        </w:rPr>
      </w:pPr>
    </w:p>
    <w:p w:rsidR="001F2E7F" w:rsidRDefault="001F2E7F" w:rsidP="007D57C6">
      <w:pPr>
        <w:spacing w:after="0"/>
        <w:ind w:left="284" w:hanging="284"/>
        <w:jc w:val="both"/>
        <w:rPr>
          <w:rFonts w:ascii="Times New Roman" w:hAnsi="Times New Roman" w:cs="Times"/>
          <w:color w:val="000000"/>
          <w:lang w:eastAsia="fr-FR"/>
        </w:rPr>
      </w:pPr>
      <w:r w:rsidRPr="00134F4D">
        <w:rPr>
          <w:rFonts w:ascii="Times New Roman" w:hAnsi="Times New Roman" w:cs="Times"/>
          <w:color w:val="000000"/>
          <w:lang w:eastAsia="fr-FR"/>
        </w:rPr>
        <w:t xml:space="preserve">Mourrain, A (2007), </w:t>
      </w:r>
      <w:r>
        <w:rPr>
          <w:rFonts w:ascii="Times New Roman" w:hAnsi="Times New Roman" w:cs="Times"/>
          <w:color w:val="000000"/>
          <w:lang w:eastAsia="fr-FR"/>
        </w:rPr>
        <w:t>« </w:t>
      </w:r>
      <w:r w:rsidRPr="00134F4D">
        <w:rPr>
          <w:rFonts w:ascii="Times New Roman" w:hAnsi="Times New Roman" w:cs="Times"/>
          <w:iCs/>
          <w:color w:val="000000"/>
          <w:lang w:eastAsia="fr-FR"/>
        </w:rPr>
        <w:t>L’investissement stratégique en pré- implémentation dans le cadre d’ un</w:t>
      </w:r>
      <w:r>
        <w:rPr>
          <w:rFonts w:ascii="Times New Roman" w:hAnsi="Times New Roman" w:cs="Times"/>
          <w:iCs/>
          <w:color w:val="000000"/>
          <w:lang w:eastAsia="fr-FR"/>
        </w:rPr>
        <w:t xml:space="preserve"> </w:t>
      </w:r>
      <w:r w:rsidRPr="00134F4D">
        <w:rPr>
          <w:rFonts w:ascii="Times New Roman" w:hAnsi="Times New Roman" w:cs="Times"/>
          <w:iCs/>
          <w:color w:val="000000"/>
          <w:lang w:eastAsia="fr-FR"/>
        </w:rPr>
        <w:t>projet d’intégration des systèmes d'information : le cas des PME</w:t>
      </w:r>
      <w:r>
        <w:rPr>
          <w:rFonts w:ascii="Times New Roman" w:hAnsi="Times New Roman" w:cs="Times"/>
          <w:iCs/>
          <w:color w:val="000000"/>
          <w:lang w:eastAsia="fr-FR"/>
        </w:rPr>
        <w:t> »</w:t>
      </w:r>
      <w:r w:rsidRPr="00134F4D">
        <w:rPr>
          <w:rFonts w:ascii="Times New Roman" w:hAnsi="Times New Roman" w:cs="Times"/>
          <w:color w:val="000000"/>
          <w:lang w:eastAsia="fr-FR"/>
        </w:rPr>
        <w:t>, Thèse de doctorat, Université de Bretagne Occidentale.</w:t>
      </w:r>
    </w:p>
    <w:p w:rsidR="001F2E7F" w:rsidRDefault="001F2E7F" w:rsidP="007D57C6">
      <w:pPr>
        <w:tabs>
          <w:tab w:val="left" w:pos="284"/>
        </w:tabs>
        <w:spacing w:after="0"/>
        <w:ind w:left="284" w:hanging="284"/>
        <w:jc w:val="both"/>
        <w:rPr>
          <w:rFonts w:ascii="Times New Roman" w:hAnsi="Times New Roman"/>
        </w:rPr>
      </w:pPr>
    </w:p>
    <w:p w:rsidR="001F2E7F" w:rsidRDefault="001F2E7F" w:rsidP="007D57C6">
      <w:pPr>
        <w:tabs>
          <w:tab w:val="left" w:pos="284"/>
        </w:tabs>
        <w:spacing w:after="0"/>
        <w:ind w:left="284" w:hanging="284"/>
        <w:jc w:val="both"/>
        <w:rPr>
          <w:rFonts w:ascii="Times New Roman" w:hAnsi="Times New Roman"/>
        </w:rPr>
      </w:pPr>
      <w:r w:rsidRPr="0000790A">
        <w:rPr>
          <w:rFonts w:ascii="Times New Roman" w:hAnsi="Times New Roman"/>
        </w:rPr>
        <w:t xml:space="preserve">Mourrain A., (2011), La décision de lancement d’un projet d’intégration des SI/TI et l’alignement stratégique. Etude de cas de PME, Actes du 16ème COLLOQUE DE L’AIM, St Denis de la Réunion. </w:t>
      </w:r>
    </w:p>
    <w:p w:rsidR="001F2E7F" w:rsidRPr="007D57C6" w:rsidRDefault="001F2E7F" w:rsidP="007D57C6">
      <w:pPr>
        <w:tabs>
          <w:tab w:val="left" w:pos="284"/>
        </w:tabs>
        <w:spacing w:after="0"/>
        <w:ind w:left="284" w:hanging="284"/>
        <w:jc w:val="both"/>
        <w:rPr>
          <w:rFonts w:ascii="Times New Roman" w:hAnsi="Times New Roman"/>
        </w:rPr>
      </w:pPr>
    </w:p>
    <w:p w:rsidR="001F2E7F" w:rsidRDefault="001F2E7F" w:rsidP="007D57C6">
      <w:pPr>
        <w:spacing w:after="0"/>
        <w:ind w:left="284" w:hanging="284"/>
        <w:jc w:val="both"/>
        <w:rPr>
          <w:rFonts w:ascii="Times New Roman" w:hAnsi="Times New Roman" w:cs="Times"/>
          <w:color w:val="000000"/>
          <w:lang w:val="en-GB"/>
        </w:rPr>
      </w:pPr>
      <w:r w:rsidRPr="00B371EF">
        <w:rPr>
          <w:rFonts w:ascii="Times New Roman" w:hAnsi="Times New Roman" w:cs="Times"/>
          <w:color w:val="000000"/>
          <w:lang w:val="en-GB"/>
        </w:rPr>
        <w:t>Olivier D. et Romm C. (2000), « ERP systems : The route to adoption » Actes de l’America’s  Conference on Information Systems, Long Beach, Aout 10-13.</w:t>
      </w:r>
    </w:p>
    <w:p w:rsidR="001F2E7F" w:rsidRDefault="001F2E7F" w:rsidP="007D57C6">
      <w:pPr>
        <w:spacing w:after="0"/>
        <w:ind w:left="284" w:hanging="284"/>
        <w:jc w:val="both"/>
        <w:rPr>
          <w:rFonts w:ascii="Times New Roman" w:hAnsi="Times New Roman" w:cs="Times"/>
          <w:color w:val="000000"/>
          <w:lang w:val="en-GB"/>
        </w:rPr>
      </w:pPr>
    </w:p>
    <w:p w:rsidR="001F2E7F" w:rsidRPr="0091359F" w:rsidRDefault="001F2E7F" w:rsidP="007D57C6">
      <w:pPr>
        <w:spacing w:after="0"/>
        <w:ind w:left="284" w:hanging="284"/>
        <w:jc w:val="both"/>
        <w:rPr>
          <w:rFonts w:ascii="Times New Roman" w:hAnsi="Times New Roman"/>
          <w:color w:val="000000"/>
          <w:lang w:val="en-GB"/>
        </w:rPr>
      </w:pPr>
      <w:r w:rsidRPr="0091359F">
        <w:rPr>
          <w:rFonts w:ascii="Times New Roman" w:hAnsi="Times New Roman"/>
          <w:lang w:val="en-GB"/>
        </w:rPr>
        <w:t>Raymond, L., Bergeron , F.</w:t>
      </w:r>
      <w:r>
        <w:rPr>
          <w:rFonts w:ascii="Times New Roman" w:hAnsi="Times New Roman"/>
          <w:lang w:val="en-GB"/>
        </w:rPr>
        <w:t xml:space="preserve">(2008), </w:t>
      </w:r>
      <w:r w:rsidRPr="00B371EF">
        <w:rPr>
          <w:rFonts w:ascii="Times New Roman" w:hAnsi="Times New Roman" w:cs="Times"/>
          <w:color w:val="000000"/>
          <w:lang w:val="en-GB"/>
        </w:rPr>
        <w:t>«</w:t>
      </w:r>
      <w:r>
        <w:rPr>
          <w:rFonts w:ascii="Times New Roman" w:hAnsi="Times New Roman" w:cs="Times"/>
          <w:color w:val="000000"/>
          <w:lang w:val="en-GB"/>
        </w:rPr>
        <w:t xml:space="preserve"> </w:t>
      </w:r>
      <w:r w:rsidRPr="0091359F">
        <w:rPr>
          <w:rFonts w:ascii="Times New Roman" w:hAnsi="Times New Roman"/>
          <w:lang w:val="en-GB"/>
        </w:rPr>
        <w:t>Enabling the Business Strategy of SMEs through e-business Capabilities: A S</w:t>
      </w:r>
      <w:r>
        <w:rPr>
          <w:rFonts w:ascii="Times New Roman" w:hAnsi="Times New Roman"/>
          <w:lang w:val="en-GB"/>
        </w:rPr>
        <w:t xml:space="preserve">trategic Alignment  Perspective </w:t>
      </w:r>
      <w:r w:rsidRPr="00B371EF">
        <w:rPr>
          <w:rFonts w:ascii="Times New Roman" w:hAnsi="Times New Roman" w:cs="Times"/>
          <w:color w:val="000000"/>
          <w:lang w:val="en-GB"/>
        </w:rPr>
        <w:t>»</w:t>
      </w:r>
      <w:r w:rsidRPr="0091359F">
        <w:rPr>
          <w:rFonts w:ascii="Times New Roman" w:hAnsi="Times New Roman"/>
          <w:lang w:val="en-GB"/>
        </w:rPr>
        <w:t>, Industrial Management &amp; Data Systems, (108:5), pp. 577-595</w:t>
      </w:r>
    </w:p>
    <w:p w:rsidR="001F2E7F" w:rsidRPr="00B371EF" w:rsidRDefault="001F2E7F" w:rsidP="007D57C6">
      <w:pPr>
        <w:spacing w:after="0"/>
        <w:ind w:left="284" w:hanging="284"/>
        <w:jc w:val="both"/>
        <w:rPr>
          <w:rFonts w:ascii="Times New Roman" w:hAnsi="Times New Roman" w:cs="Times"/>
          <w:color w:val="000000"/>
          <w:lang w:val="en-GB"/>
        </w:rPr>
      </w:pPr>
    </w:p>
    <w:p w:rsidR="001F2E7F" w:rsidRPr="00B371EF" w:rsidRDefault="001F2E7F" w:rsidP="007D57C6">
      <w:pPr>
        <w:ind w:left="284" w:hanging="284"/>
        <w:jc w:val="both"/>
        <w:rPr>
          <w:rFonts w:ascii="Times New Roman" w:hAnsi="Times New Roman" w:cs="Times"/>
          <w:color w:val="141413"/>
          <w:lang w:val="en-GB"/>
        </w:rPr>
      </w:pPr>
      <w:r w:rsidRPr="00B371EF">
        <w:rPr>
          <w:rFonts w:ascii="Times New Roman" w:hAnsi="Times New Roman" w:cs="Times"/>
          <w:color w:val="141413"/>
          <w:lang w:val="en-GB"/>
        </w:rPr>
        <w:t>Ross J. W. (1999), « The ERP revolution : surviving versus thriving ». Massachusetts Institute of Technology, Center for Information Systems Research, Working paper n°307.</w:t>
      </w:r>
    </w:p>
    <w:p w:rsidR="001F2E7F" w:rsidRPr="0000790A" w:rsidRDefault="001F2E7F" w:rsidP="007D57C6">
      <w:pPr>
        <w:ind w:left="284" w:hanging="284"/>
        <w:jc w:val="both"/>
        <w:rPr>
          <w:rFonts w:ascii="Times New Roman" w:hAnsi="Times New Roman"/>
          <w:lang w:val="en-US"/>
        </w:rPr>
      </w:pPr>
      <w:r w:rsidRPr="0000790A">
        <w:rPr>
          <w:rFonts w:ascii="Times New Roman" w:hAnsi="Times New Roman"/>
          <w:lang w:val="en-US"/>
        </w:rPr>
        <w:t xml:space="preserve">Sabherwal, R., Y. E. Chan. </w:t>
      </w:r>
      <w:r>
        <w:rPr>
          <w:rFonts w:ascii="Times New Roman" w:hAnsi="Times New Roman"/>
          <w:lang w:val="en-US"/>
        </w:rPr>
        <w:t>(</w:t>
      </w:r>
      <w:r w:rsidRPr="0000790A">
        <w:rPr>
          <w:rFonts w:ascii="Times New Roman" w:hAnsi="Times New Roman"/>
          <w:lang w:val="en-US"/>
        </w:rPr>
        <w:t>2001</w:t>
      </w:r>
      <w:r>
        <w:rPr>
          <w:rFonts w:ascii="Times New Roman" w:hAnsi="Times New Roman"/>
          <w:lang w:val="en-US"/>
        </w:rPr>
        <w:t>)</w:t>
      </w:r>
      <w:r w:rsidRPr="0000790A">
        <w:rPr>
          <w:rFonts w:ascii="Times New Roman" w:hAnsi="Times New Roman"/>
          <w:lang w:val="en-US"/>
        </w:rPr>
        <w:t>. Alignment between business and IS strategies: A study of prospectors, analyzers, and defenders. Information Systems Research 12(1) 11–33.</w:t>
      </w:r>
    </w:p>
    <w:p w:rsidR="001F2E7F" w:rsidRPr="00B371EF" w:rsidRDefault="001F2E7F" w:rsidP="007D5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hanging="284"/>
        <w:jc w:val="both"/>
        <w:rPr>
          <w:rFonts w:ascii="Times New Roman" w:hAnsi="Times New Roman" w:cs="Times"/>
          <w:color w:val="000000"/>
          <w:lang w:val="en-GB" w:eastAsia="fr-FR"/>
        </w:rPr>
      </w:pPr>
      <w:r w:rsidRPr="00B371EF">
        <w:rPr>
          <w:rFonts w:ascii="Times New Roman" w:hAnsi="Times New Roman" w:cs="Times"/>
          <w:color w:val="000000"/>
          <w:lang w:val="en-GB" w:eastAsia="fr-FR"/>
        </w:rPr>
        <w:t xml:space="preserve">Stratman, J. K. (2007). Realizing Benefits from Enterprise Resource Planning: Does Strategic Focus Matter? </w:t>
      </w:r>
      <w:r w:rsidRPr="00B371EF">
        <w:rPr>
          <w:rFonts w:ascii="Times New Roman" w:hAnsi="Times New Roman" w:cs="Times"/>
          <w:i/>
          <w:iCs/>
          <w:color w:val="000000"/>
          <w:lang w:val="en-GB" w:eastAsia="fr-FR"/>
        </w:rPr>
        <w:t>Production and Operations Management, 16</w:t>
      </w:r>
      <w:r w:rsidRPr="00B371EF">
        <w:rPr>
          <w:rFonts w:ascii="Times New Roman" w:hAnsi="Times New Roman" w:cs="Times"/>
          <w:color w:val="000000"/>
          <w:lang w:val="en-GB" w:eastAsia="fr-FR"/>
        </w:rPr>
        <w:t>(2), 203.</w:t>
      </w:r>
    </w:p>
    <w:p w:rsidR="001F2E7F" w:rsidRPr="0000790A" w:rsidRDefault="001F2E7F" w:rsidP="007D57C6">
      <w:pPr>
        <w:ind w:left="284" w:hanging="284"/>
        <w:jc w:val="both"/>
        <w:rPr>
          <w:rFonts w:ascii="Times New Roman" w:hAnsi="Times New Roman"/>
          <w:lang w:val="en-US"/>
        </w:rPr>
      </w:pPr>
      <w:r w:rsidRPr="00B371EF">
        <w:rPr>
          <w:rFonts w:ascii="Times New Roman" w:hAnsi="Times New Roman"/>
          <w:lang w:val="en-GB"/>
        </w:rPr>
        <w:t xml:space="preserve">Yen, H.J. &amp; Sheu, C. (2004). </w:t>
      </w:r>
      <w:r w:rsidRPr="0000790A">
        <w:rPr>
          <w:rFonts w:ascii="Times New Roman" w:hAnsi="Times New Roman"/>
          <w:lang w:val="en-US"/>
        </w:rPr>
        <w:t>Aligning ERP implementation with competitive priorities of manufacturing firms: An exploratory study, International Journal of Production Economics, 92(3), 207-220.</w:t>
      </w:r>
    </w:p>
    <w:p w:rsidR="001F2E7F" w:rsidRPr="00B371EF" w:rsidRDefault="001F2E7F" w:rsidP="007D57C6">
      <w:pPr>
        <w:ind w:left="284" w:hanging="284"/>
        <w:jc w:val="both"/>
        <w:rPr>
          <w:rFonts w:ascii="Times New Roman" w:hAnsi="Times New Roman" w:cs="Times"/>
          <w:color w:val="141413"/>
          <w:lang w:val="en-GB"/>
        </w:rPr>
      </w:pPr>
    </w:p>
    <w:p w:rsidR="001F2E7F" w:rsidRPr="00B371EF" w:rsidRDefault="001F2E7F" w:rsidP="007D57C6">
      <w:pPr>
        <w:spacing w:after="0"/>
        <w:ind w:left="284" w:hanging="284"/>
        <w:jc w:val="both"/>
        <w:rPr>
          <w:rFonts w:ascii="Times New Roman" w:hAnsi="Times New Roman" w:cs="Times"/>
          <w:color w:val="000000"/>
          <w:lang w:val="en-GB" w:eastAsia="fr-FR"/>
        </w:rPr>
      </w:pPr>
    </w:p>
    <w:p w:rsidR="001F2E7F" w:rsidRPr="00B371EF" w:rsidRDefault="001F2E7F" w:rsidP="00500AEE">
      <w:pPr>
        <w:spacing w:after="0"/>
        <w:jc w:val="both"/>
        <w:rPr>
          <w:rFonts w:ascii="Cambria" w:hAnsi="Cambria"/>
          <w:sz w:val="24"/>
          <w:lang w:val="en-GB"/>
        </w:rPr>
      </w:pPr>
    </w:p>
    <w:sectPr w:rsidR="001F2E7F" w:rsidRPr="00B371EF" w:rsidSect="00B77B9F">
      <w:footnotePr>
        <w:numFmt w:val="chicago"/>
      </w:footnotePr>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E7F" w:rsidRDefault="001F2E7F" w:rsidP="00DE2D6A">
      <w:pPr>
        <w:spacing w:after="0" w:line="240" w:lineRule="auto"/>
      </w:pPr>
      <w:r>
        <w:separator/>
      </w:r>
    </w:p>
  </w:endnote>
  <w:endnote w:type="continuationSeparator" w:id="0">
    <w:p w:rsidR="001F2E7F" w:rsidRDefault="001F2E7F" w:rsidP="00DE2D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E7F" w:rsidRDefault="001F2E7F" w:rsidP="00DE2D6A">
      <w:pPr>
        <w:spacing w:after="0" w:line="240" w:lineRule="auto"/>
      </w:pPr>
      <w:r>
        <w:separator/>
      </w:r>
    </w:p>
  </w:footnote>
  <w:footnote w:type="continuationSeparator" w:id="0">
    <w:p w:rsidR="001F2E7F" w:rsidRDefault="001F2E7F" w:rsidP="00DE2D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B77EAD"/>
    <w:multiLevelType w:val="hybridMultilevel"/>
    <w:tmpl w:val="32D2EA04"/>
    <w:lvl w:ilvl="0" w:tplc="D9E4AA5E">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characterSpacingControl w:val="doNotCompress"/>
  <w:footnotePr>
    <w:numFmt w:val="chicago"/>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2D6A"/>
    <w:rsid w:val="0000790A"/>
    <w:rsid w:val="00072370"/>
    <w:rsid w:val="001202BD"/>
    <w:rsid w:val="00134F4D"/>
    <w:rsid w:val="0015746D"/>
    <w:rsid w:val="00175E76"/>
    <w:rsid w:val="001D1020"/>
    <w:rsid w:val="001D4319"/>
    <w:rsid w:val="001F2E7F"/>
    <w:rsid w:val="0023457C"/>
    <w:rsid w:val="00263FDE"/>
    <w:rsid w:val="002E02A6"/>
    <w:rsid w:val="003049C4"/>
    <w:rsid w:val="00357215"/>
    <w:rsid w:val="003847C5"/>
    <w:rsid w:val="003C722B"/>
    <w:rsid w:val="003D4BFE"/>
    <w:rsid w:val="003E2EAD"/>
    <w:rsid w:val="0040758D"/>
    <w:rsid w:val="00412B73"/>
    <w:rsid w:val="004617CC"/>
    <w:rsid w:val="004810FA"/>
    <w:rsid w:val="00500AEE"/>
    <w:rsid w:val="00546A45"/>
    <w:rsid w:val="00554610"/>
    <w:rsid w:val="005B4261"/>
    <w:rsid w:val="00611586"/>
    <w:rsid w:val="0064112C"/>
    <w:rsid w:val="00644E6F"/>
    <w:rsid w:val="00680459"/>
    <w:rsid w:val="006A2556"/>
    <w:rsid w:val="006D1D69"/>
    <w:rsid w:val="00723A43"/>
    <w:rsid w:val="007A78A9"/>
    <w:rsid w:val="007D007D"/>
    <w:rsid w:val="007D57C6"/>
    <w:rsid w:val="007F228E"/>
    <w:rsid w:val="007F3491"/>
    <w:rsid w:val="00824665"/>
    <w:rsid w:val="008B2D86"/>
    <w:rsid w:val="0091359F"/>
    <w:rsid w:val="00985D42"/>
    <w:rsid w:val="009A2C20"/>
    <w:rsid w:val="009D4AFE"/>
    <w:rsid w:val="00A109DC"/>
    <w:rsid w:val="00A120D0"/>
    <w:rsid w:val="00A61EE8"/>
    <w:rsid w:val="00AA455C"/>
    <w:rsid w:val="00AB64D6"/>
    <w:rsid w:val="00B16C1B"/>
    <w:rsid w:val="00B371EF"/>
    <w:rsid w:val="00B7496B"/>
    <w:rsid w:val="00B77B9F"/>
    <w:rsid w:val="00BA24AD"/>
    <w:rsid w:val="00C23022"/>
    <w:rsid w:val="00C80AA5"/>
    <w:rsid w:val="00CC1CC2"/>
    <w:rsid w:val="00D23353"/>
    <w:rsid w:val="00DE2D6A"/>
    <w:rsid w:val="00E72220"/>
    <w:rsid w:val="00ED6437"/>
    <w:rsid w:val="00EF315C"/>
    <w:rsid w:val="00F80BDA"/>
    <w:rsid w:val="00FC0631"/>
    <w:rsid w:val="00FF4452"/>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D6A"/>
    <w:pPr>
      <w:spacing w:after="200" w:line="276" w:lineRule="auto"/>
    </w:pPr>
    <w:rPr>
      <w:rFonts w:ascii="Calibri" w:hAnsi="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DE2D6A"/>
    <w:pPr>
      <w:spacing w:after="0" w:line="240" w:lineRule="auto"/>
    </w:pPr>
    <w:rPr>
      <w:sz w:val="24"/>
      <w:szCs w:val="24"/>
    </w:rPr>
  </w:style>
  <w:style w:type="character" w:customStyle="1" w:styleId="FootnoteTextChar">
    <w:name w:val="Footnote Text Char"/>
    <w:basedOn w:val="DefaultParagraphFont"/>
    <w:link w:val="FootnoteText"/>
    <w:uiPriority w:val="99"/>
    <w:locked/>
    <w:rsid w:val="00DE2D6A"/>
    <w:rPr>
      <w:rFonts w:ascii="Calibri" w:hAnsi="Calibri" w:cs="Times New Roman"/>
      <w:lang w:val="fr-FR" w:eastAsia="en-US"/>
    </w:rPr>
  </w:style>
  <w:style w:type="character" w:styleId="FootnoteReference">
    <w:name w:val="footnote reference"/>
    <w:basedOn w:val="DefaultParagraphFont"/>
    <w:uiPriority w:val="99"/>
    <w:rsid w:val="00DE2D6A"/>
    <w:rPr>
      <w:rFonts w:cs="Times New Roman"/>
      <w:vertAlign w:val="superscript"/>
    </w:rPr>
  </w:style>
  <w:style w:type="paragraph" w:styleId="ListParagraph">
    <w:name w:val="List Paragraph"/>
    <w:basedOn w:val="Normal"/>
    <w:uiPriority w:val="99"/>
    <w:qFormat/>
    <w:rsid w:val="007D007D"/>
    <w:pPr>
      <w:ind w:left="720"/>
      <w:contextualSpacing/>
    </w:pPr>
  </w:style>
  <w:style w:type="character" w:styleId="Hyperlink">
    <w:name w:val="Hyperlink"/>
    <w:basedOn w:val="DefaultParagraphFont"/>
    <w:uiPriority w:val="99"/>
    <w:rsid w:val="0040758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542794365">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6</Pages>
  <Words>2006</Words>
  <Characters>11033</Characters>
  <Application>Microsoft Office Outlook</Application>
  <DocSecurity>0</DocSecurity>
  <Lines>0</Lines>
  <Paragraphs>0</Paragraphs>
  <ScaleCrop>false</ScaleCrop>
  <Company>LUSSI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stratégie des PME influence-t-elle leur adoption des outils ERP </dc:title>
  <dc:subject/>
  <dc:creator>Administrateur LUSSI</dc:creator>
  <cp:keywords/>
  <dc:description/>
  <cp:lastModifiedBy>pcreach</cp:lastModifiedBy>
  <cp:revision>7</cp:revision>
  <dcterms:created xsi:type="dcterms:W3CDTF">2012-01-31T08:36:00Z</dcterms:created>
  <dcterms:modified xsi:type="dcterms:W3CDTF">2012-02-03T14:40:00Z</dcterms:modified>
</cp:coreProperties>
</file>